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566696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12</w:t>
      </w:r>
      <w:r w:rsidR="00877EA4">
        <w:rPr>
          <w:rFonts w:asciiTheme="minorHAnsi" w:hAnsiTheme="minorHAnsi"/>
          <w:b w:val="0"/>
          <w:bCs w:val="0"/>
          <w:sz w:val="20"/>
        </w:rPr>
        <w:t>.0</w:t>
      </w:r>
      <w:r>
        <w:rPr>
          <w:rFonts w:asciiTheme="minorHAnsi" w:hAnsiTheme="minorHAnsi"/>
          <w:b w:val="0"/>
          <w:bCs w:val="0"/>
          <w:sz w:val="20"/>
        </w:rPr>
        <w:t>2</w:t>
      </w:r>
      <w:r w:rsidR="00881459">
        <w:rPr>
          <w:rFonts w:asciiTheme="minorHAnsi" w:hAnsiTheme="minorHAnsi"/>
          <w:b w:val="0"/>
          <w:bCs w:val="0"/>
          <w:sz w:val="20"/>
        </w:rPr>
        <w:t>.201</w:t>
      </w:r>
      <w:r>
        <w:rPr>
          <w:rFonts w:asciiTheme="minorHAnsi" w:hAnsiTheme="minorHAnsi"/>
          <w:b w:val="0"/>
          <w:bCs w:val="0"/>
          <w:sz w:val="20"/>
        </w:rPr>
        <w:t>8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eastAsia="pl-PL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</w:rPr>
      </w:pPr>
      <w:r w:rsidRPr="00A217F4">
        <w:rPr>
          <w:rFonts w:asciiTheme="minorHAnsi" w:hAnsiTheme="minorHAnsi"/>
        </w:rPr>
        <w:t xml:space="preserve">tel. </w:t>
      </w:r>
      <w:r w:rsidR="00DE45D2" w:rsidRPr="00A217F4">
        <w:rPr>
          <w:rFonts w:asciiTheme="minorHAnsi" w:hAnsiTheme="minorHAnsi"/>
        </w:rPr>
        <w:t>509 509</w:t>
      </w:r>
      <w:r w:rsidR="00BE15EA" w:rsidRPr="00A217F4">
        <w:rPr>
          <w:rFonts w:asciiTheme="minorHAnsi" w:hAnsiTheme="minorHAnsi"/>
        </w:rPr>
        <w:t> </w:t>
      </w:r>
      <w:r w:rsidR="00DE45D2" w:rsidRPr="00A217F4">
        <w:rPr>
          <w:rFonts w:asciiTheme="minorHAnsi" w:hAnsiTheme="minorHAnsi"/>
        </w:rPr>
        <w:t>536</w:t>
      </w:r>
    </w:p>
    <w:p w:rsidR="006D03DA" w:rsidRDefault="00566696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Style w:val="Hipercze"/>
          <w:rFonts w:asciiTheme="minorHAnsi" w:hAnsiTheme="minorHAnsi" w:cs="Arial"/>
          <w:b w:val="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566696" w:rsidRPr="00A217F4" w:rsidRDefault="00566696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:rsidR="00566696" w:rsidRPr="00566696" w:rsidRDefault="00566696" w:rsidP="00566696">
      <w:pPr>
        <w:spacing w:line="276" w:lineRule="auto"/>
        <w:jc w:val="center"/>
        <w:outlineLvl w:val="0"/>
        <w:rPr>
          <w:rFonts w:ascii="Calibri" w:hAnsi="Calibri"/>
          <w:b/>
          <w:bCs/>
          <w:caps/>
          <w:color w:val="002060"/>
          <w:kern w:val="36"/>
          <w:sz w:val="32"/>
          <w:szCs w:val="32"/>
          <w:lang w:eastAsia="en-AU"/>
        </w:rPr>
      </w:pPr>
      <w:r w:rsidRPr="00566696">
        <w:rPr>
          <w:rFonts w:ascii="Calibri" w:hAnsi="Calibri"/>
          <w:b/>
          <w:bCs/>
          <w:caps/>
          <w:color w:val="002060"/>
          <w:kern w:val="36"/>
          <w:sz w:val="32"/>
          <w:szCs w:val="32"/>
          <w:lang w:eastAsia="en-AU"/>
        </w:rPr>
        <w:t xml:space="preserve">Podsumowanie Ogólnopolskiego </w:t>
      </w:r>
    </w:p>
    <w:p w:rsidR="00566696" w:rsidRPr="00566696" w:rsidRDefault="00566696" w:rsidP="00566696">
      <w:pPr>
        <w:spacing w:line="276" w:lineRule="auto"/>
        <w:jc w:val="center"/>
        <w:outlineLvl w:val="0"/>
        <w:rPr>
          <w:rFonts w:ascii="Calibri" w:hAnsi="Calibri"/>
          <w:b/>
          <w:bCs/>
          <w:caps/>
          <w:color w:val="002060"/>
          <w:kern w:val="36"/>
          <w:sz w:val="32"/>
          <w:szCs w:val="32"/>
          <w:lang w:eastAsia="en-AU"/>
        </w:rPr>
      </w:pPr>
      <w:r w:rsidRPr="00566696">
        <w:rPr>
          <w:rFonts w:ascii="Calibri" w:hAnsi="Calibri"/>
          <w:b/>
          <w:bCs/>
          <w:caps/>
          <w:color w:val="002060"/>
          <w:kern w:val="36"/>
          <w:sz w:val="32"/>
          <w:szCs w:val="32"/>
          <w:lang w:eastAsia="en-AU"/>
        </w:rPr>
        <w:t>Badania Wynagrodzeń w 2017 roku</w:t>
      </w:r>
    </w:p>
    <w:p w:rsidR="00566696" w:rsidRPr="00566696" w:rsidRDefault="00566696" w:rsidP="00566696">
      <w:pPr>
        <w:spacing w:line="276" w:lineRule="auto"/>
        <w:rPr>
          <w:rFonts w:cs="Calibri"/>
          <w:caps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b/>
          <w:color w:val="002060"/>
          <w:lang w:eastAsia="pl-PL"/>
        </w:rPr>
        <w:t>Informacje o badaniu:</w:t>
      </w:r>
      <w:r w:rsidRPr="00566696">
        <w:rPr>
          <w:rFonts w:ascii="Calibri" w:hAnsi="Calibri" w:cs="Arial"/>
          <w:lang w:eastAsia="pl-PL"/>
        </w:rPr>
        <w:t xml:space="preserve"> W 2017 roku w badaniu uczestniczyło 155 136 osób. Ze względów metodologicznych w obliczeniach końcowych uwzględniliśmy dane 128 998 respondentów. 40% uczestników badania ma nie więcej niż 30 lat, 54% mieszka w miastach powyżej 200 000 mieszkańców, 70% ma wykształcenie wyższe, 47% pracuje w wielkich lub dużych przedsiębiorstwach, zaś 80% pracuje w firmach prywatnych. 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Calibri"/>
          <w:color w:val="3A3A3A"/>
          <w:sz w:val="21"/>
          <w:szCs w:val="21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b/>
          <w:lang w:eastAsia="pl-PL"/>
        </w:rPr>
      </w:pPr>
      <w:r w:rsidRPr="00566696">
        <w:rPr>
          <w:rFonts w:ascii="Calibri" w:hAnsi="Calibri" w:cs="Arial"/>
          <w:lang w:eastAsia="pl-PL"/>
        </w:rPr>
        <w:t xml:space="preserve">Partnerzy badania: </w:t>
      </w:r>
      <w:r w:rsidRPr="00566696">
        <w:rPr>
          <w:rFonts w:ascii="Calibri" w:hAnsi="Calibri" w:cs="Arial"/>
          <w:b/>
          <w:lang w:eastAsia="pl-PL"/>
        </w:rPr>
        <w:t>interia.pl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b/>
          <w:lang w:eastAsia="pl-PL"/>
        </w:rPr>
      </w:pPr>
      <w:r w:rsidRPr="00566696">
        <w:rPr>
          <w:rFonts w:ascii="Calibri" w:hAnsi="Calibri" w:cs="Arial"/>
          <w:lang w:eastAsia="pl-PL"/>
        </w:rPr>
        <w:t>Przypomnijmy, że głównym celem OBW jest prezentacja stawek wynagrodzeń na poszczególnych stanowiskach (m.in. poprzez moduł "</w:t>
      </w:r>
      <w:hyperlink r:id="rId10" w:history="1">
        <w:r w:rsidRPr="00566696">
          <w:rPr>
            <w:rFonts w:ascii="Calibri" w:hAnsi="Calibri" w:cs="Calibri"/>
            <w:color w:val="0000FF"/>
            <w:u w:val="single"/>
            <w:lang w:eastAsia="pl-PL"/>
          </w:rPr>
          <w:t>Moja płaca</w:t>
        </w:r>
      </w:hyperlink>
      <w:r w:rsidRPr="00566696">
        <w:rPr>
          <w:rFonts w:ascii="Calibri" w:hAnsi="Calibri" w:cs="Arial"/>
          <w:lang w:eastAsia="pl-PL"/>
        </w:rPr>
        <w:t xml:space="preserve">”). Ze względu na nielosowy charakter próby, wyniki ogólne należy traktować jako orientacyjne. Opisują one jedynie konkretną badaną próbę. Porównując dane z poszczególnych edycji OBW prosimy pamiętać, iż brały w nich udział inne osoby. </w:t>
      </w:r>
    </w:p>
    <w:p w:rsidR="00566696" w:rsidRPr="00566696" w:rsidRDefault="00566696" w:rsidP="00566696">
      <w:pPr>
        <w:spacing w:line="276" w:lineRule="auto"/>
        <w:jc w:val="both"/>
        <w:rPr>
          <w:rFonts w:cs="Calibri"/>
          <w:b/>
        </w:rPr>
      </w:pPr>
    </w:p>
    <w:p w:rsidR="00566696" w:rsidRPr="00566696" w:rsidRDefault="00566696" w:rsidP="00566696">
      <w:pPr>
        <w:spacing w:line="276" w:lineRule="auto"/>
        <w:jc w:val="both"/>
        <w:rPr>
          <w:rFonts w:cs="Calibri"/>
          <w:b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eastAsia="Calibri" w:hAnsi="Calibri" w:cs="Arial"/>
          <w:b/>
          <w:color w:val="002060"/>
          <w:sz w:val="26"/>
        </w:rPr>
      </w:pPr>
      <w:r w:rsidRPr="00566696">
        <w:rPr>
          <w:rFonts w:ascii="Calibri" w:eastAsia="Calibri" w:hAnsi="Calibri" w:cs="Arial"/>
          <w:b/>
          <w:color w:val="002060"/>
          <w:sz w:val="26"/>
        </w:rPr>
        <w:t>Podsumowanie badania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>Mediana wynagrodzeń w Polsce w 2017 roku wyniosła 4 157 PLN i jest wyższa o 257 PLN w porównaniu do roku poprzedniego. Zarobki 25% najniższej opłacanych pracowników nie przekroczyły 3 000 PLN. 25% najwyżej zarabiających otrzymywało wynagrodzenia w kwocie 6 060 PLN i więcej.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Schemat 1. Wynagrodzenia w Polsce w 2017 roku (brutto w PLN)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noProof/>
          <w:lang w:eastAsia="pl-PL"/>
        </w:rPr>
        <w:lastRenderedPageBreak/>
        <w:drawing>
          <wp:inline distT="0" distB="0" distL="0" distR="0" wp14:anchorId="60D80612" wp14:editId="5A6DC099">
            <wp:extent cx="5486400" cy="2790825"/>
            <wp:effectExtent l="0" t="19050" r="0" b="9525"/>
            <wp:docPr id="19" name="Diagram 1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</w:rPr>
        <w:t>&amp;</w:t>
      </w:r>
      <w:r w:rsidRPr="00566696">
        <w:rPr>
          <w:rFonts w:ascii="Calibri" w:hAnsi="Calibri" w:cs="Calibri"/>
          <w:i/>
          <w:sz w:val="20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>(n=128 998)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>Rok 2017 był znacznie łaskawszy dla pracowników bo 47% odnotowało wzrost wynagrodzenia. 40% osób stwierdziło, że ich wynagrodzenie pozostało na tym samym poziomie co w 2016 roku. Płace 8% ankietowanych były niższe.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/>
          <w:b/>
          <w:color w:val="002060"/>
          <w:szCs w:val="22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 xml:space="preserve">Wykres 1. Zmiana wynagrodzenia w 2017 roku 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Arial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w porównaniu do roku poprzedniego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noProof/>
          <w:lang w:eastAsia="pl-PL"/>
        </w:rPr>
        <w:drawing>
          <wp:inline distT="0" distB="0" distL="0" distR="0" wp14:anchorId="3F82822D" wp14:editId="0CC8D4F6">
            <wp:extent cx="5400000" cy="3240000"/>
            <wp:effectExtent l="0" t="0" r="0" b="0"/>
            <wp:docPr id="20" name="Wykres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</w:rPr>
        <w:t>&amp;</w:t>
      </w:r>
      <w:r w:rsidRPr="00566696">
        <w:rPr>
          <w:rFonts w:ascii="Calibri" w:hAnsi="Calibri" w:cs="Calibri"/>
          <w:i/>
          <w:sz w:val="20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lastRenderedPageBreak/>
        <w:t>(n=128 996)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 xml:space="preserve">W naszych badaniach regularnie poruszamy także zagadnienie sprawiedliwości wynagrodzeń. Mimo wzrostu wynagrodzeń okazuje się, że osoby pracujące w Polsce uważają, że ich wynagrodzenie jest zdecydowanie niesprawiedliwe (21%) lub raczej niesprawiedliwe (44%). 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>W grupie respondentów zarabiających powyżej mediany (4 157 PLN) poczucie sprawiedliwości zadeklarowało 50% badanych (odpowiedzi zdecydowanie tak i raczej tak). Wskaźnik ten, wśród osób które zarabiały poniżej mediany, wyniósł 20%.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 xml:space="preserve">Tabela 1. Odsetek osób 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 xml:space="preserve">uważających swoje wynagrodzenie za sprawiedliwe w 2017 roku </w:t>
      </w:r>
    </w:p>
    <w:tbl>
      <w:tblPr>
        <w:tblW w:w="890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211"/>
        <w:gridCol w:w="2211"/>
        <w:gridCol w:w="2211"/>
      </w:tblGrid>
      <w:tr w:rsidR="00566696" w:rsidRPr="00566696" w:rsidTr="00566696">
        <w:trPr>
          <w:trHeight w:val="1020"/>
          <w:jc w:val="center"/>
        </w:trPr>
        <w:tc>
          <w:tcPr>
            <w:tcW w:w="2268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odpowiedź </w:t>
            </w:r>
          </w:p>
        </w:tc>
        <w:tc>
          <w:tcPr>
            <w:tcW w:w="221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wszyscy badani</w:t>
            </w:r>
          </w:p>
        </w:tc>
        <w:tc>
          <w:tcPr>
            <w:tcW w:w="221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oso</w:t>
            </w:r>
            <w:bookmarkStart w:id="0" w:name="_GoBack"/>
            <w:bookmarkEnd w:id="0"/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by zarabiające powyżej mediany</w:t>
            </w:r>
          </w:p>
        </w:tc>
        <w:tc>
          <w:tcPr>
            <w:tcW w:w="221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osoby zarabiające poniżej mediany</w:t>
            </w:r>
          </w:p>
        </w:tc>
      </w:tr>
      <w:tr w:rsidR="00566696" w:rsidRPr="00566696" w:rsidTr="00566696">
        <w:trPr>
          <w:trHeight w:val="390"/>
          <w:jc w:val="center"/>
        </w:trPr>
        <w:tc>
          <w:tcPr>
            <w:tcW w:w="2268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zdecydowanie tak lub raczej tak</w:t>
            </w:r>
          </w:p>
        </w:tc>
        <w:tc>
          <w:tcPr>
            <w:tcW w:w="221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35%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51%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20%</w:t>
            </w:r>
          </w:p>
        </w:tc>
      </w:tr>
      <w:tr w:rsidR="00566696" w:rsidRPr="00566696" w:rsidTr="00A5267D">
        <w:trPr>
          <w:trHeight w:val="390"/>
          <w:jc w:val="center"/>
        </w:trPr>
        <w:tc>
          <w:tcPr>
            <w:tcW w:w="2268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raczej nie lub zdecydowanie nie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65%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49%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80%</w:t>
            </w:r>
          </w:p>
        </w:tc>
      </w:tr>
    </w:tbl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</w:rPr>
        <w:t>&amp;</w:t>
      </w:r>
      <w:r w:rsidRPr="00566696">
        <w:rPr>
          <w:rFonts w:ascii="Calibri" w:hAnsi="Calibri" w:cs="Calibri"/>
          <w:i/>
          <w:sz w:val="20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>(n=127 134)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eastAsia="Calibri" w:hAnsi="Calibri" w:cs="Arial"/>
          <w:b/>
          <w:color w:val="002060"/>
          <w:sz w:val="26"/>
        </w:rPr>
      </w:pPr>
      <w:r w:rsidRPr="00566696">
        <w:rPr>
          <w:rFonts w:ascii="Calibri" w:eastAsia="Calibri" w:hAnsi="Calibri" w:cs="Arial"/>
          <w:b/>
          <w:color w:val="002060"/>
          <w:sz w:val="26"/>
        </w:rPr>
        <w:t>Demografia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>Wyniki badań nadal pokazują istnienie luki płacowej, czyli różnicy między zarobkami kobiet i mężczyzn. W 2017 roku przedstawicielki płci pięknej zarobiły o 846 PLN mniej. Oznacza to, że ich zarobki były o 19% niższe od wynagrodzeń mężczyzn. W poprzednich edycjach badania luka płacowa utrzymywała się na podobnym poziomie.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Tabela 2. Mediana wynagrodzeń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kobiet i mężczyzn w latach 2016 - 2017 (brutto w PLN)</w:t>
      </w:r>
    </w:p>
    <w:tbl>
      <w:tblPr>
        <w:tblW w:w="71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417"/>
        <w:gridCol w:w="1160"/>
        <w:gridCol w:w="1417"/>
        <w:gridCol w:w="1160"/>
      </w:tblGrid>
      <w:tr w:rsidR="00566696" w:rsidRPr="00566696" w:rsidTr="00566696">
        <w:trPr>
          <w:trHeight w:val="567"/>
          <w:jc w:val="center"/>
        </w:trPr>
        <w:tc>
          <w:tcPr>
            <w:tcW w:w="1980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próba</w:t>
            </w:r>
          </w:p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2016</w:t>
            </w:r>
          </w:p>
        </w:tc>
        <w:tc>
          <w:tcPr>
            <w:tcW w:w="116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mediana</w:t>
            </w:r>
          </w:p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2016</w:t>
            </w:r>
          </w:p>
        </w:tc>
        <w:tc>
          <w:tcPr>
            <w:tcW w:w="141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próba 2017</w:t>
            </w:r>
          </w:p>
        </w:tc>
        <w:tc>
          <w:tcPr>
            <w:tcW w:w="116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mediana 2017</w:t>
            </w:r>
          </w:p>
        </w:tc>
      </w:tr>
      <w:tr w:rsidR="00566696" w:rsidRPr="00566696" w:rsidTr="00566696">
        <w:trPr>
          <w:trHeight w:val="567"/>
          <w:jc w:val="center"/>
        </w:trPr>
        <w:tc>
          <w:tcPr>
            <w:tcW w:w="1980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wszyscy badani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115 163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128 998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4 157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lastRenderedPageBreak/>
              <w:t>mężczyźni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63 772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72 344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4 500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kobiety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51 391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56 654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3 636</w:t>
            </w:r>
          </w:p>
        </w:tc>
      </w:tr>
    </w:tbl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</w:rPr>
        <w:t>&amp;</w:t>
      </w:r>
      <w:r w:rsidRPr="00566696">
        <w:rPr>
          <w:rFonts w:ascii="Calibri" w:hAnsi="Calibri" w:cs="Calibri"/>
          <w:i/>
          <w:sz w:val="20"/>
        </w:rPr>
        <w:t xml:space="preserve"> Sedlak w 2016 i  2017 roku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 xml:space="preserve">Jak pokazują wyniki, najwięcej zarabiały osoby w wieku od 36 do 40 lat (4 927 PLN).  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 xml:space="preserve">Wykres 2. Mediana zarobków 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Arial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osób w różnym wieku w 2017 roku (brutto w PLN)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noProof/>
          <w:lang w:eastAsia="pl-PL"/>
        </w:rPr>
        <w:drawing>
          <wp:inline distT="0" distB="0" distL="0" distR="0" wp14:anchorId="0F9EA854" wp14:editId="54AC5284">
            <wp:extent cx="5400000" cy="3240000"/>
            <wp:effectExtent l="0" t="0" r="0" b="0"/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</w:rPr>
        <w:t>&amp;</w:t>
      </w:r>
      <w:r w:rsidRPr="00566696">
        <w:rPr>
          <w:rFonts w:ascii="Calibri" w:hAnsi="Calibri" w:cs="Calibri"/>
          <w:i/>
          <w:sz w:val="20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>(n=128 996)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eastAsia="Calibri" w:hAnsi="Calibri" w:cs="Arial"/>
          <w:b/>
          <w:color w:val="002060"/>
          <w:sz w:val="26"/>
        </w:rPr>
      </w:pPr>
      <w:r w:rsidRPr="00566696">
        <w:rPr>
          <w:rFonts w:ascii="Calibri" w:eastAsia="Calibri" w:hAnsi="Calibri" w:cs="Arial"/>
          <w:b/>
          <w:color w:val="002060"/>
          <w:sz w:val="26"/>
        </w:rPr>
        <w:t>Edukacja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>Nauka popłaca a wyniki Ogólnopolskiego Badania Wynagrodzeń stanowią na to dowód. Wynagrodzenia osób posiadających tytuł magistra były o 78% wyższe niż pensje pracowników z wykształceniem podstawowym lub gimnazjalnym.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Tabela 3. Zarobki osób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 xml:space="preserve"> z różnym wykształceniem w 2017 roku (brutto w PLN)</w:t>
      </w:r>
    </w:p>
    <w:tbl>
      <w:tblPr>
        <w:tblW w:w="884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8"/>
        <w:gridCol w:w="1701"/>
        <w:gridCol w:w="1361"/>
        <w:gridCol w:w="1361"/>
        <w:gridCol w:w="1361"/>
      </w:tblGrid>
      <w:tr w:rsidR="00566696" w:rsidRPr="00566696" w:rsidTr="00566696">
        <w:trPr>
          <w:trHeight w:val="585"/>
          <w:jc w:val="center"/>
        </w:trPr>
        <w:tc>
          <w:tcPr>
            <w:tcW w:w="3058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lastRenderedPageBreak/>
              <w:t>wykształcenie</w:t>
            </w:r>
          </w:p>
        </w:tc>
        <w:tc>
          <w:tcPr>
            <w:tcW w:w="170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próba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25% zarabiało poniżej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mediana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25% zarabiało powyżej</w:t>
            </w:r>
          </w:p>
        </w:tc>
      </w:tr>
      <w:tr w:rsidR="00566696" w:rsidRPr="00566696" w:rsidTr="00566696">
        <w:trPr>
          <w:trHeight w:val="567"/>
          <w:jc w:val="center"/>
        </w:trPr>
        <w:tc>
          <w:tcPr>
            <w:tcW w:w="3058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wyższe magisterskie</w:t>
            </w:r>
          </w:p>
        </w:tc>
        <w:tc>
          <w:tcPr>
            <w:tcW w:w="170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65 694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3 494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4 928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7 500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058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wyższe zawodowe (licencjackie/inżynierskie)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20 935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4 067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5 666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058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niepełne wyższe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4 076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3 053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4 080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5 800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058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średnie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37 219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3 281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4 211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058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podstawowe i gimnazjalne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1 074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2 210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2 775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3 529</w:t>
            </w:r>
          </w:p>
        </w:tc>
      </w:tr>
    </w:tbl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</w:rPr>
        <w:t>&amp;</w:t>
      </w:r>
      <w:r w:rsidRPr="00566696">
        <w:rPr>
          <w:rFonts w:ascii="Calibri" w:hAnsi="Calibri" w:cs="Calibri"/>
          <w:i/>
          <w:sz w:val="20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>Fakt posiadania tytułu magistra nie stanowi jeszcze gwarancji sukcesu. Na wysokość wynagrodzeń wpływ mają także takie czynniki jak np. tryb studiów. Pracodawcy wyżej wynagradzają osoby, które swoje wykształcenie zdobyły w trybie stacjonarnym.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 xml:space="preserve">Wykres 3. Mediana wynagrodzeń osób 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po studiach stacjonarnych i niestacjonarnych w 2017 roku (brutto w PLN)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noProof/>
          <w:lang w:eastAsia="pl-PL"/>
        </w:rPr>
        <w:drawing>
          <wp:inline distT="0" distB="0" distL="0" distR="0" wp14:anchorId="71E66E0A" wp14:editId="3018588A">
            <wp:extent cx="5400000" cy="2160000"/>
            <wp:effectExtent l="0" t="0" r="0" b="0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</w:rPr>
        <w:t>&amp;</w:t>
      </w:r>
      <w:r w:rsidRPr="00566696">
        <w:rPr>
          <w:rFonts w:ascii="Calibri" w:hAnsi="Calibri" w:cs="Calibri"/>
          <w:i/>
          <w:sz w:val="20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>(n=91 051)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eastAsia="Calibri" w:hAnsi="Calibri" w:cs="Arial"/>
          <w:b/>
          <w:color w:val="002060"/>
          <w:sz w:val="26"/>
        </w:rPr>
      </w:pPr>
      <w:r w:rsidRPr="00566696">
        <w:rPr>
          <w:rFonts w:ascii="Calibri" w:eastAsia="Calibri" w:hAnsi="Calibri" w:cs="Arial"/>
          <w:b/>
          <w:color w:val="002060"/>
          <w:sz w:val="26"/>
        </w:rPr>
        <w:t>Pracodawcy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lastRenderedPageBreak/>
        <w:t>Wpływ na wysokość wynagrodzenia mają również czynniki leżące po stronie pracodawcy, w tym m.in. wielkość firmy. Wyniki Ogólnopolskiego Badania Wynagrodzeń pokazują, że pracodawcy z dużych firm są bardziej szczodrzy. Osoby pracujące w mikroprzedsiębiorstwach zarabiały 3 062 PLN a płace osób zatrudnionych w dużych firmach przekraczały 4 500 PLN miesięcznie.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 xml:space="preserve">Tabela 4. Wynagrodzenie osób pracujących 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w firmach różnej wielkości w 2017 roku (brutto w PLN)</w:t>
      </w:r>
    </w:p>
    <w:tbl>
      <w:tblPr>
        <w:tblW w:w="952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2"/>
        <w:gridCol w:w="1361"/>
        <w:gridCol w:w="1361"/>
        <w:gridCol w:w="1361"/>
        <w:gridCol w:w="1361"/>
      </w:tblGrid>
      <w:tr w:rsidR="00566696" w:rsidRPr="00566696" w:rsidTr="00566696">
        <w:trPr>
          <w:trHeight w:val="585"/>
          <w:jc w:val="center"/>
        </w:trPr>
        <w:tc>
          <w:tcPr>
            <w:tcW w:w="4082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szczebel organizacji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próba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25% zarabiało poniżej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mediana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25% zarabiało powyżej</w:t>
            </w:r>
          </w:p>
        </w:tc>
      </w:tr>
      <w:tr w:rsidR="00566696" w:rsidRPr="00566696" w:rsidTr="00566696">
        <w:trPr>
          <w:trHeight w:val="390"/>
          <w:jc w:val="center"/>
        </w:trPr>
        <w:tc>
          <w:tcPr>
            <w:tcW w:w="4082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mikroprzedsiębiorstwo (1-9)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10 603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3 062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4 210</w:t>
            </w:r>
          </w:p>
        </w:tc>
      </w:tr>
      <w:tr w:rsidR="00566696" w:rsidRPr="00566696" w:rsidTr="00A5267D">
        <w:trPr>
          <w:trHeight w:val="390"/>
          <w:jc w:val="center"/>
        </w:trPr>
        <w:tc>
          <w:tcPr>
            <w:tcW w:w="408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małe przedsiębiorstwo (10-49)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23 250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2 775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3 630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5 100</w:t>
            </w:r>
          </w:p>
        </w:tc>
      </w:tr>
      <w:tr w:rsidR="00566696" w:rsidRPr="00566696" w:rsidTr="00A5267D">
        <w:trPr>
          <w:trHeight w:val="390"/>
          <w:jc w:val="center"/>
        </w:trPr>
        <w:tc>
          <w:tcPr>
            <w:tcW w:w="408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średnie przedsiębiorstwo (50-249)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34 469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3 061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4 199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6 000</w:t>
            </w:r>
          </w:p>
        </w:tc>
      </w:tr>
      <w:tr w:rsidR="00566696" w:rsidRPr="00566696" w:rsidTr="00A5267D">
        <w:trPr>
          <w:trHeight w:val="390"/>
          <w:jc w:val="center"/>
        </w:trPr>
        <w:tc>
          <w:tcPr>
            <w:tcW w:w="408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duże przedsiębiorstwo (250-999)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24 552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6 794</w:t>
            </w:r>
          </w:p>
        </w:tc>
      </w:tr>
      <w:tr w:rsidR="00566696" w:rsidRPr="00566696" w:rsidTr="00A5267D">
        <w:trPr>
          <w:trHeight w:val="390"/>
          <w:jc w:val="center"/>
        </w:trPr>
        <w:tc>
          <w:tcPr>
            <w:tcW w:w="408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wielkie przedsiębiorstwo (1000 i więcej)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35 882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4 550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6 937</w:t>
            </w:r>
          </w:p>
        </w:tc>
      </w:tr>
    </w:tbl>
    <w:p w:rsidR="00566696" w:rsidRPr="00566696" w:rsidRDefault="00566696" w:rsidP="00566696">
      <w:pPr>
        <w:spacing w:line="276" w:lineRule="auto"/>
        <w:jc w:val="center"/>
        <w:rPr>
          <w:rFonts w:ascii="Calibri" w:hAnsi="Calibri" w:cs="Arial"/>
          <w:lang w:eastAsia="pl-PL"/>
        </w:rPr>
      </w:pPr>
      <w:r w:rsidRPr="00566696">
        <w:rPr>
          <w:rFonts w:ascii="Calibri" w:hAnsi="Calibri" w:cs="Calibri"/>
          <w:i/>
          <w:sz w:val="20"/>
          <w:lang w:eastAsia="pl-PL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  <w:lang w:eastAsia="pl-PL"/>
        </w:rPr>
        <w:t>&amp;</w:t>
      </w:r>
      <w:r w:rsidRPr="00566696">
        <w:rPr>
          <w:rFonts w:ascii="Calibri" w:hAnsi="Calibri" w:cs="Calibri"/>
          <w:i/>
          <w:sz w:val="20"/>
          <w:lang w:eastAsia="pl-PL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>W Polsce ukuło się pojęcie prywaciarza, który wyzyskuje swoich pracowników. Ogólnopolskie Badanie Wynagrodzeń pokazuje jednak, że firmy prywatne płacą więcej niż państwowe. Zarobki w firmach prywatnych wyniosły 4 210 PLN. W firmach państwowych zarobki były o 430 PLN niższe. Jeszcze mniej zarabiali pracownicy samorządu terytorialnego, gdzie mediana wynagrodzeń wyniosła 3 350 PLN.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 xml:space="preserve">Tabela 5. Wynagrodzenia osób 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pracujących w różnego typu firmach w 2017 roku (brutto w PLN)</w:t>
      </w:r>
    </w:p>
    <w:tbl>
      <w:tblPr>
        <w:tblW w:w="88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361"/>
        <w:gridCol w:w="1361"/>
        <w:gridCol w:w="1361"/>
        <w:gridCol w:w="1361"/>
      </w:tblGrid>
      <w:tr w:rsidR="00566696" w:rsidRPr="00566696" w:rsidTr="00566696">
        <w:trPr>
          <w:trHeight w:val="585"/>
          <w:jc w:val="center"/>
        </w:trPr>
        <w:tc>
          <w:tcPr>
            <w:tcW w:w="3402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typ firmy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próba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25% zarabiało poniżej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mediana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25% zarabiało powyżej</w:t>
            </w:r>
          </w:p>
        </w:tc>
      </w:tr>
      <w:tr w:rsidR="00566696" w:rsidRPr="00566696" w:rsidTr="00566696">
        <w:trPr>
          <w:trHeight w:val="390"/>
          <w:jc w:val="center"/>
        </w:trPr>
        <w:tc>
          <w:tcPr>
            <w:tcW w:w="3402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prywatna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103 574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3 061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4 210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6 363</w:t>
            </w:r>
          </w:p>
        </w:tc>
      </w:tr>
      <w:tr w:rsidR="00566696" w:rsidRPr="00566696" w:rsidTr="00A5267D">
        <w:trPr>
          <w:trHeight w:val="390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własność państwowa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13 972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2 805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3 780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5 360</w:t>
            </w:r>
          </w:p>
        </w:tc>
      </w:tr>
      <w:tr w:rsidR="00566696" w:rsidRPr="00566696" w:rsidTr="00A5267D">
        <w:trPr>
          <w:trHeight w:val="390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własność jednostek samorządu terytorialnego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7 898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2 683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3 350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4 400</w:t>
            </w:r>
          </w:p>
        </w:tc>
      </w:tr>
      <w:tr w:rsidR="00566696" w:rsidRPr="00566696" w:rsidTr="00A5267D">
        <w:trPr>
          <w:trHeight w:val="390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lastRenderedPageBreak/>
              <w:t>organizacja pozarządowa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3 554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3 055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5 645</w:t>
            </w:r>
          </w:p>
        </w:tc>
      </w:tr>
    </w:tbl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</w:rPr>
        <w:t>&amp;</w:t>
      </w:r>
      <w:r w:rsidRPr="00566696">
        <w:rPr>
          <w:rFonts w:ascii="Calibri" w:hAnsi="Calibri" w:cs="Calibri"/>
          <w:i/>
          <w:sz w:val="20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>Jeżeli zależy nam na tym, aby zarabiać więcej, pracujmy w firmach z przewagą kapitału zagranicznego. Płace w nich są wyższe o 1 500 PLN niż w firmach z przewagą kapitału polskiego.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 xml:space="preserve">Wykres 4. Mediana wynagrodzeń 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w firmach polskich i zagranicznych w 2017 roku (brutto w PLN)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noProof/>
          <w:lang w:eastAsia="pl-PL"/>
        </w:rPr>
        <w:drawing>
          <wp:inline distT="0" distB="0" distL="0" distR="0" wp14:anchorId="310976FB" wp14:editId="532654A6">
            <wp:extent cx="5976000" cy="2160000"/>
            <wp:effectExtent l="0" t="0" r="5715" b="0"/>
            <wp:docPr id="21" name="Wykres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</w:rPr>
        <w:t>&amp;</w:t>
      </w:r>
      <w:r w:rsidRPr="00566696">
        <w:rPr>
          <w:rFonts w:ascii="Calibri" w:hAnsi="Calibri" w:cs="Calibri"/>
          <w:i/>
          <w:sz w:val="20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>(n=128 998)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/>
          <w:b/>
          <w:color w:val="002060"/>
          <w:szCs w:val="22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eastAsia="Calibri" w:hAnsi="Calibri" w:cs="Arial"/>
          <w:b/>
          <w:color w:val="002060"/>
          <w:sz w:val="26"/>
        </w:rPr>
      </w:pPr>
      <w:r w:rsidRPr="00566696">
        <w:rPr>
          <w:rFonts w:ascii="Calibri" w:eastAsia="Calibri" w:hAnsi="Calibri" w:cs="Arial"/>
          <w:b/>
          <w:color w:val="002060"/>
          <w:sz w:val="26"/>
        </w:rPr>
        <w:t>Staż pracy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>Podejmując pracę trzeba mieć na uwadze to, że zarobki nie od razu będą wysokie. Doświadczenie, które rośnie wraz ze stażem pracy jest cechą pożądaną przez pracodawców. Znajduje to wyraz w wyższych wynagrodzeniach osób będących „starymi wyjadaczami” w swojej branży. Najwyższe płace osiągały osoby, których staż mieścił się w przedziale od 16 do 20 lat i wynosiły one 5 000 PLN. Zarobki osób powyżej tej granicy doświadczenia ponownie zaczynają spadać.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/>
          <w:b/>
          <w:color w:val="002060"/>
          <w:szCs w:val="22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Wykres 5. Mediana wynagrodzeń osób o różnym stażu pracy w 2017 roku (brutto w PLN)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noProof/>
          <w:lang w:eastAsia="pl-PL"/>
        </w:rPr>
        <w:lastRenderedPageBreak/>
        <w:drawing>
          <wp:inline distT="0" distB="0" distL="0" distR="0" wp14:anchorId="008A3981" wp14:editId="51CCAB21">
            <wp:extent cx="5400000" cy="3240000"/>
            <wp:effectExtent l="0" t="0" r="0" b="0"/>
            <wp:docPr id="22" name="Wykres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</w:rPr>
        <w:t>&amp;</w:t>
      </w:r>
      <w:r w:rsidRPr="00566696">
        <w:rPr>
          <w:rFonts w:ascii="Calibri" w:hAnsi="Calibri" w:cs="Calibri"/>
          <w:i/>
          <w:sz w:val="20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>(n=128 998)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>Idealna sytuacja dla pracownika ma miejsce wtedy, gdy wraz ze stażem rośnie również jego rola w organizacji. Awansując na kolejne szczeble w hierarchii można spodziewać się znaczących podwyżek wynagrodzenia. W 2017 wynagrodzenia dyrektorów były blisko 4,5 razy wyższe niż pracowników szeregowych.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 xml:space="preserve">Tabela 6. Wynagrodzenia pracowników 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z różnych szczebli organizacji w 2017 roku (brutto w PLN)</w:t>
      </w:r>
    </w:p>
    <w:tbl>
      <w:tblPr>
        <w:tblW w:w="867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5"/>
        <w:gridCol w:w="1417"/>
        <w:gridCol w:w="1361"/>
        <w:gridCol w:w="1361"/>
        <w:gridCol w:w="1361"/>
      </w:tblGrid>
      <w:tr w:rsidR="00566696" w:rsidRPr="00566696" w:rsidTr="00566696">
        <w:trPr>
          <w:trHeight w:val="567"/>
          <w:jc w:val="center"/>
        </w:trPr>
        <w:tc>
          <w:tcPr>
            <w:tcW w:w="3175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szczebel organizacji</w:t>
            </w:r>
          </w:p>
        </w:tc>
        <w:tc>
          <w:tcPr>
            <w:tcW w:w="141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próba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25% zarabiało poniżej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mediana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25% zarabiało powyżej</w:t>
            </w:r>
          </w:p>
        </w:tc>
      </w:tr>
      <w:tr w:rsidR="00566696" w:rsidRPr="00566696" w:rsidTr="00566696">
        <w:trPr>
          <w:trHeight w:val="567"/>
          <w:jc w:val="center"/>
        </w:trPr>
        <w:tc>
          <w:tcPr>
            <w:tcW w:w="3175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dyrektor</w:t>
            </w:r>
          </w:p>
        </w:tc>
        <w:tc>
          <w:tcPr>
            <w:tcW w:w="141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5 383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8 086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13 000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19 997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kierownik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24 602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4 350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6 077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8 803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specjalista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64 170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4 210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5 800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pracownik szeregowy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34 841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2 904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3 600</w:t>
            </w:r>
          </w:p>
        </w:tc>
      </w:tr>
    </w:tbl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</w:rPr>
        <w:t>&amp;</w:t>
      </w:r>
      <w:r w:rsidRPr="00566696">
        <w:rPr>
          <w:rFonts w:ascii="Calibri" w:hAnsi="Calibri" w:cs="Calibri"/>
          <w:i/>
          <w:sz w:val="20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eastAsia="Calibri" w:hAnsi="Calibri" w:cs="Arial"/>
          <w:b/>
          <w:color w:val="002060"/>
          <w:sz w:val="26"/>
        </w:rPr>
      </w:pPr>
      <w:r w:rsidRPr="00566696">
        <w:rPr>
          <w:rFonts w:ascii="Calibri" w:eastAsia="Calibri" w:hAnsi="Calibri" w:cs="Arial"/>
          <w:b/>
          <w:color w:val="002060"/>
          <w:sz w:val="26"/>
        </w:rPr>
        <w:t>Region zatrudnienia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t>Aby zarabiać dużo, czasem konieczna może się okazać przeprowadzka. Od lat w naszych badaniach okazuje się, że najwyższe wynagrodzenia osiągają pracownicy z województwa mazowieckiego – 5 000 PLN. Nieco mniej zarabia się w województwie dolnośląskim 4 400 PLN i małopolskim 4 210 PLN. Najniższe pensje w Polsce otrzymywały osoby z województwa lubelskiego – 3 393 PLN i świętokrzyskiego – 3 400 PLN.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 xml:space="preserve">Tabela 7. Wynagrodzenia pracowników 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z różnych województw w 2017 roku (brutto w PLN)</w:t>
      </w:r>
    </w:p>
    <w:tbl>
      <w:tblPr>
        <w:tblW w:w="861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5"/>
        <w:gridCol w:w="1361"/>
        <w:gridCol w:w="1361"/>
        <w:gridCol w:w="1361"/>
        <w:gridCol w:w="1361"/>
      </w:tblGrid>
      <w:tr w:rsidR="00566696" w:rsidRPr="00566696" w:rsidTr="00566696">
        <w:trPr>
          <w:trHeight w:val="567"/>
          <w:jc w:val="center"/>
        </w:trPr>
        <w:tc>
          <w:tcPr>
            <w:tcW w:w="3175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województwo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próba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25% zarabiało poniżej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mediana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000000" w:fill="FFF2E9"/>
            <w:vAlign w:val="center"/>
            <w:hideMark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25% zarabiało powyżej</w:t>
            </w:r>
          </w:p>
        </w:tc>
      </w:tr>
      <w:tr w:rsidR="00566696" w:rsidRPr="00566696" w:rsidTr="00566696">
        <w:trPr>
          <w:trHeight w:val="567"/>
          <w:jc w:val="center"/>
        </w:trPr>
        <w:tc>
          <w:tcPr>
            <w:tcW w:w="3175" w:type="dxa"/>
            <w:tcBorders>
              <w:top w:val="single" w:sz="8" w:space="0" w:color="FFDEBF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mazowieckie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25 808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5 000</w:t>
            </w:r>
          </w:p>
        </w:tc>
        <w:tc>
          <w:tcPr>
            <w:tcW w:w="1361" w:type="dxa"/>
            <w:tcBorders>
              <w:top w:val="single" w:sz="8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7 800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dolnośląskie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13 197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3 205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6 500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małopolskie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14 469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4 210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6 200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pomorskie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8 473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3 061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4 198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6 000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wielkopolskie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11 707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4 100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5 933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….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podkarpackie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4 904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2 640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3 493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4 690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warmińsko-mazurskie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2 444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2 650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3 493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4 927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podlaskie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2 359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2 650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3 493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4 700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świętokrzyskie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2 118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4 641</w:t>
            </w:r>
          </w:p>
        </w:tc>
      </w:tr>
      <w:tr w:rsidR="00566696" w:rsidRPr="00566696" w:rsidTr="00A5267D">
        <w:trPr>
          <w:trHeight w:val="567"/>
          <w:jc w:val="center"/>
        </w:trPr>
        <w:tc>
          <w:tcPr>
            <w:tcW w:w="3175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lubelskie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nil"/>
            </w:tcBorders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3 903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2 583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b/>
                <w:color w:val="565350"/>
                <w:sz w:val="28"/>
                <w:szCs w:val="28"/>
                <w:lang w:eastAsia="pl-PL"/>
              </w:rPr>
              <w:t>3 385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566696" w:rsidRPr="00566696" w:rsidRDefault="00566696" w:rsidP="00566696">
            <w:pPr>
              <w:spacing w:line="276" w:lineRule="auto"/>
              <w:jc w:val="center"/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</w:pPr>
            <w:r w:rsidRPr="00566696">
              <w:rPr>
                <w:rFonts w:ascii="Calibri" w:hAnsi="Calibri"/>
                <w:color w:val="565350"/>
                <w:sz w:val="28"/>
                <w:szCs w:val="28"/>
                <w:lang w:eastAsia="pl-PL"/>
              </w:rPr>
              <w:t>4 689</w:t>
            </w:r>
          </w:p>
        </w:tc>
      </w:tr>
    </w:tbl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</w:rPr>
        <w:t>&amp;</w:t>
      </w:r>
      <w:r w:rsidRPr="00566696">
        <w:rPr>
          <w:rFonts w:ascii="Calibri" w:hAnsi="Calibri" w:cs="Calibri"/>
          <w:i/>
          <w:sz w:val="20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>(n=128 998)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lang w:eastAsia="pl-PL"/>
        </w:rPr>
        <w:lastRenderedPageBreak/>
        <w:t>Na wysokość zarobków istotny wpływ ma również wielkość miejscowości, w której firma ma swoją siedzibę. O ile w miejscowościach do 100 tysięcy mieszkańców wynagrodzenia są na podobnym poziomie, o tyle w największych miastach wzrost wynagrodzeń jest zauważalny. Prym wiedzie oczywiście Warszawa. W stolicy mediana zarobków w 2017 roku wyniosła 5 645 PLN.</w:t>
      </w: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Arial"/>
          <w:lang w:eastAsia="pl-PL"/>
        </w:rPr>
      </w:pP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Arial"/>
          <w:lang w:eastAsia="pl-PL"/>
        </w:rPr>
      </w:pPr>
      <w:r w:rsidRPr="00566696">
        <w:rPr>
          <w:rFonts w:ascii="Calibri" w:hAnsi="Calibri"/>
          <w:b/>
          <w:color w:val="002060"/>
          <w:szCs w:val="22"/>
          <w:lang w:eastAsia="pl-PL"/>
        </w:rPr>
        <w:t>Wykres 6. Mediana wynagrodzeń w miejscowościach o różnej wielkości (brutto w PLN)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Arial"/>
          <w:lang w:eastAsia="pl-PL"/>
        </w:rPr>
      </w:pPr>
      <w:r w:rsidRPr="00566696">
        <w:rPr>
          <w:rFonts w:ascii="Calibri" w:hAnsi="Calibri" w:cs="Arial"/>
          <w:noProof/>
          <w:lang w:eastAsia="pl-PL"/>
        </w:rPr>
        <w:drawing>
          <wp:inline distT="0" distB="0" distL="0" distR="0" wp14:anchorId="33CE03B5" wp14:editId="0170F938">
            <wp:extent cx="5400000" cy="3240000"/>
            <wp:effectExtent l="0" t="0" r="0" b="0"/>
            <wp:docPr id="23" name="Wykres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Arial"/>
          <w:lang w:eastAsia="pl-PL"/>
        </w:rPr>
      </w:pPr>
      <w:r w:rsidRPr="00566696">
        <w:rPr>
          <w:rFonts w:ascii="Calibri" w:hAnsi="Calibri" w:cs="Calibri"/>
          <w:i/>
          <w:sz w:val="20"/>
          <w:lang w:eastAsia="pl-PL"/>
        </w:rPr>
        <w:t xml:space="preserve">Źródło: Ogólnopolskie Badanie Wynagrodzeń przeprowadzone przez Sedlak </w:t>
      </w:r>
      <w:r w:rsidRPr="00566696">
        <w:rPr>
          <w:rFonts w:ascii="Calibri" w:hAnsi="Calibri" w:cs="Calibri"/>
          <w:i/>
          <w:sz w:val="16"/>
          <w:lang w:eastAsia="pl-PL"/>
        </w:rPr>
        <w:t>&amp;</w:t>
      </w:r>
      <w:r w:rsidRPr="00566696">
        <w:rPr>
          <w:rFonts w:ascii="Calibri" w:hAnsi="Calibri" w:cs="Calibri"/>
          <w:i/>
          <w:sz w:val="20"/>
          <w:lang w:eastAsia="pl-PL"/>
        </w:rPr>
        <w:t xml:space="preserve"> Sedlak w 2017 roku</w:t>
      </w:r>
    </w:p>
    <w:p w:rsidR="00566696" w:rsidRPr="00566696" w:rsidRDefault="00566696" w:rsidP="00566696">
      <w:pPr>
        <w:spacing w:line="276" w:lineRule="auto"/>
        <w:jc w:val="center"/>
        <w:rPr>
          <w:rFonts w:ascii="Calibri" w:hAnsi="Calibri" w:cs="Calibri"/>
          <w:i/>
          <w:sz w:val="20"/>
        </w:rPr>
      </w:pPr>
      <w:r w:rsidRPr="00566696">
        <w:rPr>
          <w:rFonts w:ascii="Calibri" w:hAnsi="Calibri" w:cs="Calibri"/>
          <w:i/>
          <w:sz w:val="20"/>
        </w:rPr>
        <w:t>(n=124 958)</w:t>
      </w:r>
    </w:p>
    <w:p w:rsidR="00566696" w:rsidRPr="00566696" w:rsidRDefault="00566696" w:rsidP="00566696">
      <w:pPr>
        <w:tabs>
          <w:tab w:val="left" w:pos="2205"/>
        </w:tabs>
        <w:spacing w:line="276" w:lineRule="auto"/>
        <w:rPr>
          <w:rFonts w:ascii="Calibri" w:hAnsi="Calibri" w:cs="Calibri"/>
          <w:b/>
          <w:i/>
          <w:color w:val="002060"/>
        </w:rPr>
      </w:pPr>
    </w:p>
    <w:p w:rsidR="00566696" w:rsidRPr="00566696" w:rsidRDefault="00566696" w:rsidP="00566696">
      <w:pPr>
        <w:spacing w:line="276" w:lineRule="auto"/>
        <w:jc w:val="both"/>
        <w:rPr>
          <w:rFonts w:cs="Calibri"/>
          <w:i/>
          <w:sz w:val="20"/>
        </w:rPr>
      </w:pPr>
    </w:p>
    <w:p w:rsidR="00566696" w:rsidRDefault="00566696" w:rsidP="00566696">
      <w:pPr>
        <w:pStyle w:val="tekstsedalk"/>
        <w:jc w:val="center"/>
      </w:pPr>
      <w:bookmarkStart w:id="1" w:name="_Hlk505172701"/>
      <w:r w:rsidRPr="00E777ED">
        <w:t>Jeżeli są Państwo zainteresowani szczegółowym raportem na temat wynagrodzeń</w:t>
      </w:r>
    </w:p>
    <w:p w:rsidR="00566696" w:rsidRDefault="00566696" w:rsidP="00566696">
      <w:pPr>
        <w:pStyle w:val="tekstsedalk"/>
        <w:jc w:val="center"/>
      </w:pPr>
      <w:r w:rsidRPr="00E777ED">
        <w:t xml:space="preserve">na konkretnym stanowisku, w konkretnym regionie, wybranej branży czy grupie zawodowej zapraszamy do </w:t>
      </w:r>
      <w:hyperlink r:id="rId22" w:history="1">
        <w:r w:rsidRPr="00E777ED">
          <w:rPr>
            <w:rStyle w:val="Hipercze"/>
          </w:rPr>
          <w:t>kontaktu z redakcją</w:t>
        </w:r>
      </w:hyperlink>
      <w:r>
        <w:t>.</w:t>
      </w:r>
    </w:p>
    <w:p w:rsidR="00566696" w:rsidRDefault="00566696" w:rsidP="00566696">
      <w:pPr>
        <w:pStyle w:val="tekstsedalk"/>
        <w:jc w:val="center"/>
      </w:pPr>
    </w:p>
    <w:p w:rsidR="00566696" w:rsidRDefault="00566696" w:rsidP="00566696">
      <w:pPr>
        <w:jc w:val="center"/>
        <w:rPr>
          <w:rFonts w:asciiTheme="minorHAnsi" w:hAnsiTheme="minorHAnsi" w:cstheme="minorHAnsi"/>
        </w:rPr>
      </w:pPr>
      <w:r w:rsidRPr="00566696">
        <w:rPr>
          <w:rFonts w:asciiTheme="minorHAnsi" w:eastAsiaTheme="minorHAnsi" w:hAnsiTheme="minorHAnsi" w:cstheme="minorBidi"/>
          <w:szCs w:val="26"/>
        </w:rPr>
        <w:t>Zapraszamy do uczestnictwa w tegorocznej edycji Ogólnopolskiego Badania Wynagrodzeń.</w:t>
      </w:r>
      <w:r w:rsidRPr="00566696">
        <w:rPr>
          <w:rFonts w:asciiTheme="minorHAnsi" w:eastAsiaTheme="minorHAnsi" w:hAnsiTheme="minorHAnsi" w:cstheme="minorBidi"/>
          <w:szCs w:val="26"/>
        </w:rPr>
        <w:br/>
        <w:t xml:space="preserve">Ankietę do badania można znaleźć </w:t>
      </w:r>
      <w:hyperlink r:id="rId23" w:history="1">
        <w:r w:rsidRPr="00566696">
          <w:rPr>
            <w:rStyle w:val="Hipercze"/>
            <w:rFonts w:asciiTheme="minorHAnsi" w:hAnsiTheme="minorHAnsi" w:cstheme="minorHAnsi"/>
          </w:rPr>
          <w:t>tutaj</w:t>
        </w:r>
      </w:hyperlink>
      <w:r w:rsidRPr="00566696">
        <w:rPr>
          <w:rFonts w:asciiTheme="minorHAnsi" w:hAnsiTheme="minorHAnsi" w:cstheme="minorHAnsi"/>
        </w:rPr>
        <w:t>.</w:t>
      </w:r>
      <w:bookmarkEnd w:id="1"/>
    </w:p>
    <w:p w:rsidR="00566696" w:rsidRDefault="00566696" w:rsidP="00566696">
      <w:pPr>
        <w:jc w:val="center"/>
        <w:rPr>
          <w:rFonts w:cstheme="minorHAnsi"/>
        </w:rPr>
      </w:pPr>
    </w:p>
    <w:p w:rsidR="00566696" w:rsidRPr="00566696" w:rsidRDefault="00566696" w:rsidP="00566696">
      <w:pPr>
        <w:spacing w:line="276" w:lineRule="auto"/>
        <w:jc w:val="both"/>
        <w:rPr>
          <w:rFonts w:cs="Calibri"/>
          <w:i/>
          <w:sz w:val="20"/>
        </w:rPr>
      </w:pPr>
    </w:p>
    <w:p w:rsidR="00566696" w:rsidRPr="00566696" w:rsidRDefault="00566696" w:rsidP="00566696">
      <w:pPr>
        <w:spacing w:line="276" w:lineRule="auto"/>
        <w:jc w:val="both"/>
        <w:rPr>
          <w:rFonts w:ascii="Calibri" w:hAnsi="Calibri" w:cs="Calibri"/>
          <w:b/>
          <w:lang w:eastAsia="pl-PL"/>
        </w:rPr>
      </w:pPr>
      <w:r w:rsidRPr="00566696">
        <w:rPr>
          <w:rFonts w:ascii="Calibri" w:hAnsi="Calibri" w:cs="Calibri"/>
          <w:b/>
          <w:lang w:eastAsia="pl-PL"/>
        </w:rPr>
        <w:t>Wyjaśnienie terminów użytych w artykule:</w:t>
      </w:r>
    </w:p>
    <w:p w:rsidR="00566696" w:rsidRPr="00566696" w:rsidRDefault="00566696" w:rsidP="00566696">
      <w:pPr>
        <w:spacing w:line="276" w:lineRule="auto"/>
        <w:rPr>
          <w:rFonts w:ascii="Calibri" w:hAnsi="Calibri" w:cs="Calibri"/>
          <w:lang w:eastAsia="pl-PL"/>
        </w:rPr>
      </w:pPr>
      <w:r w:rsidRPr="00566696">
        <w:rPr>
          <w:rFonts w:ascii="Calibri" w:hAnsi="Calibri"/>
          <w:sz w:val="22"/>
          <w:szCs w:val="22"/>
          <w:lang w:eastAsia="pl-PL"/>
        </w:rPr>
        <w:br/>
      </w:r>
      <w:r w:rsidRPr="00566696">
        <w:rPr>
          <w:rFonts w:ascii="Calibri" w:hAnsi="Calibri" w:cs="Calibri"/>
          <w:b/>
          <w:lang w:eastAsia="pl-PL"/>
        </w:rPr>
        <w:t>wynagrodzenie całkowite</w:t>
      </w:r>
      <w:r w:rsidRPr="00566696">
        <w:rPr>
          <w:rFonts w:ascii="Calibri" w:hAnsi="Calibri" w:cs="Calibri"/>
          <w:lang w:eastAsia="pl-PL"/>
        </w:rPr>
        <w:t xml:space="preserve"> – miesięczne wynagrodzenie brutto przysługujące </w:t>
      </w:r>
      <w:r w:rsidRPr="00566696">
        <w:rPr>
          <w:rFonts w:ascii="Calibri" w:hAnsi="Calibri" w:cs="Calibri"/>
          <w:lang w:eastAsia="pl-PL"/>
        </w:rPr>
        <w:lastRenderedPageBreak/>
        <w:t>pracownikowi z uwzględnieniem wszystkich ruchomych dodatków pieniężnych, takich jak: premie, nagrody i inne;</w:t>
      </w:r>
      <w:r w:rsidRPr="00566696">
        <w:rPr>
          <w:rFonts w:ascii="Calibri" w:hAnsi="Calibri" w:cs="Calibri"/>
          <w:lang w:eastAsia="pl-PL"/>
        </w:rPr>
        <w:br/>
      </w:r>
      <w:r w:rsidRPr="00566696">
        <w:rPr>
          <w:rFonts w:ascii="Calibri" w:hAnsi="Calibri" w:cs="Calibri"/>
          <w:lang w:eastAsia="pl-PL"/>
        </w:rPr>
        <w:br/>
      </w:r>
      <w:r w:rsidRPr="00566696">
        <w:rPr>
          <w:rFonts w:ascii="Calibri" w:hAnsi="Calibri" w:cs="Calibri"/>
          <w:b/>
          <w:lang w:eastAsia="pl-PL"/>
        </w:rPr>
        <w:t>mediana</w:t>
      </w:r>
      <w:r w:rsidRPr="00566696">
        <w:rPr>
          <w:rFonts w:ascii="Calibri" w:hAnsi="Calibri" w:cs="Calibri"/>
          <w:lang w:eastAsia="pl-PL"/>
        </w:rPr>
        <w:t xml:space="preserve"> – wartość dzieląca wszystkie dane na pół. Poniżej i powyżej mediany znajduje się dokładnie po 50% danych. Innymi słowy, jeżeli </w:t>
      </w:r>
      <w:hyperlink r:id="rId24" w:history="1">
        <w:r w:rsidRPr="00566696">
          <w:rPr>
            <w:rFonts w:ascii="Calibri" w:hAnsi="Calibri" w:cs="Calibri"/>
            <w:lang w:eastAsia="pl-PL"/>
          </w:rPr>
          <w:t>mediana</w:t>
        </w:r>
      </w:hyperlink>
      <w:r w:rsidRPr="00566696">
        <w:rPr>
          <w:rFonts w:ascii="Calibri" w:hAnsi="Calibri" w:cs="Calibri"/>
          <w:lang w:eastAsia="pl-PL"/>
        </w:rPr>
        <w:t xml:space="preserve"> wynosi 3 000 PLN, to znaczy, że wynagrodzenie na danym stanowisku jest w połowie zakładów niższe, a w połowie wyższe od 3 000 PLN. </w:t>
      </w:r>
      <w:hyperlink r:id="rId25" w:history="1">
        <w:r w:rsidRPr="00566696">
          <w:rPr>
            <w:rFonts w:ascii="Calibri" w:hAnsi="Calibri" w:cs="Calibri"/>
            <w:lang w:eastAsia="pl-PL"/>
          </w:rPr>
          <w:t>Mediana</w:t>
        </w:r>
      </w:hyperlink>
      <w:r w:rsidRPr="00566696">
        <w:rPr>
          <w:rFonts w:ascii="Calibri" w:hAnsi="Calibri" w:cs="Calibri"/>
          <w:lang w:eastAsia="pl-PL"/>
        </w:rPr>
        <w:t xml:space="preserve"> jest miarą statystyczną, która lepiej niż średnia, oddaje tendencję centralną wyników, ponieważ średnia może być zaburzona przez wyniki skrajne;</w:t>
      </w:r>
      <w:r w:rsidRPr="00566696">
        <w:rPr>
          <w:rFonts w:ascii="Calibri" w:hAnsi="Calibri" w:cs="Calibri"/>
          <w:lang w:eastAsia="pl-PL"/>
        </w:rPr>
        <w:br/>
      </w:r>
      <w:r w:rsidRPr="00566696">
        <w:rPr>
          <w:rFonts w:ascii="Calibri" w:hAnsi="Calibri" w:cs="Calibri"/>
          <w:lang w:eastAsia="pl-PL"/>
        </w:rPr>
        <w:br/>
      </w:r>
      <w:r w:rsidRPr="00566696">
        <w:rPr>
          <w:rFonts w:ascii="Calibri" w:hAnsi="Calibri" w:cs="Calibri"/>
          <w:b/>
          <w:lang w:eastAsia="pl-PL"/>
        </w:rPr>
        <w:t>górny kwartyl</w:t>
      </w:r>
      <w:r w:rsidRPr="00566696">
        <w:rPr>
          <w:rFonts w:ascii="Calibri" w:hAnsi="Calibri" w:cs="Calibri"/>
          <w:lang w:eastAsia="pl-PL"/>
        </w:rPr>
        <w:t xml:space="preserve"> – wartość, powyżej której mieści się 25% danych. Innymi słowy, jeżeli górny kwartyl wynosi 5 500 PLN, to 75% osób zatrudnionych na danym stanowisku zarabia poniżej, a 25% powyżej 5 500 PLN;</w:t>
      </w:r>
      <w:r w:rsidRPr="00566696">
        <w:rPr>
          <w:rFonts w:ascii="Calibri" w:hAnsi="Calibri" w:cs="Calibri"/>
          <w:lang w:eastAsia="pl-PL"/>
        </w:rPr>
        <w:br/>
      </w:r>
      <w:r w:rsidRPr="00566696">
        <w:rPr>
          <w:rFonts w:ascii="Calibri" w:hAnsi="Calibri" w:cs="Calibri"/>
          <w:lang w:eastAsia="pl-PL"/>
        </w:rPr>
        <w:br/>
      </w:r>
      <w:r w:rsidRPr="00566696">
        <w:rPr>
          <w:rFonts w:ascii="Calibri" w:hAnsi="Calibri" w:cs="Calibri"/>
          <w:b/>
          <w:lang w:eastAsia="pl-PL"/>
        </w:rPr>
        <w:t>dolny kwartyl</w:t>
      </w:r>
      <w:r w:rsidRPr="00566696">
        <w:rPr>
          <w:rFonts w:ascii="Calibri" w:hAnsi="Calibri" w:cs="Calibri"/>
          <w:lang w:eastAsia="pl-PL"/>
        </w:rPr>
        <w:t xml:space="preserve"> – wartość, poniżej której mieści się 25% danych. Innymi słowy, jeżeli dolny kwartyl wynosi 2 000 PLN, to 25% osób zatrudnionych na danym stanowisku zarabia poniżej, a 75% powyżej 2 000 PLN.</w:t>
      </w:r>
    </w:p>
    <w:p w:rsidR="00566696" w:rsidRPr="00566696" w:rsidRDefault="00566696" w:rsidP="00566696">
      <w:pPr>
        <w:spacing w:line="276" w:lineRule="auto"/>
        <w:jc w:val="both"/>
      </w:pPr>
    </w:p>
    <w:p w:rsidR="0000005A" w:rsidRPr="00A217F4" w:rsidRDefault="0000005A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</w:p>
    <w:p w:rsidR="00C755CB" w:rsidRPr="00A217F4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46B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28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E107E8">
      <w:headerReference w:type="default" r:id="rId29"/>
      <w:footerReference w:type="default" r:id="rId30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E49" w:rsidRDefault="00583E49">
      <w:r>
        <w:separator/>
      </w:r>
    </w:p>
  </w:endnote>
  <w:endnote w:type="continuationSeparator" w:id="0">
    <w:p w:rsidR="00583E49" w:rsidRDefault="0058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326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E49" w:rsidRDefault="00583E49">
      <w:r>
        <w:separator/>
      </w:r>
    </w:p>
  </w:footnote>
  <w:footnote w:type="continuationSeparator" w:id="0">
    <w:p w:rsidR="00583E49" w:rsidRDefault="0058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6A45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22"/>
  </w:num>
  <w:num w:numId="7">
    <w:abstractNumId w:val="19"/>
  </w:num>
  <w:num w:numId="8">
    <w:abstractNumId w:val="6"/>
  </w:num>
  <w:num w:numId="9">
    <w:abstractNumId w:val="0"/>
  </w:num>
  <w:num w:numId="10">
    <w:abstractNumId w:val="4"/>
  </w:num>
  <w:num w:numId="11">
    <w:abstractNumId w:val="16"/>
  </w:num>
  <w:num w:numId="12">
    <w:abstractNumId w:val="12"/>
  </w:num>
  <w:num w:numId="13">
    <w:abstractNumId w:val="1"/>
  </w:num>
  <w:num w:numId="14">
    <w:abstractNumId w:val="2"/>
  </w:num>
  <w:num w:numId="15">
    <w:abstractNumId w:val="17"/>
  </w:num>
  <w:num w:numId="16">
    <w:abstractNumId w:val="11"/>
  </w:num>
  <w:num w:numId="17">
    <w:abstractNumId w:val="21"/>
  </w:num>
  <w:num w:numId="18">
    <w:abstractNumId w:val="14"/>
  </w:num>
  <w:num w:numId="19">
    <w:abstractNumId w:val="18"/>
  </w:num>
  <w:num w:numId="20">
    <w:abstractNumId w:val="8"/>
  </w:num>
  <w:num w:numId="21">
    <w:abstractNumId w:val="5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53601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78F7"/>
    <w:rsid w:val="005111D8"/>
    <w:rsid w:val="00514744"/>
    <w:rsid w:val="00526EBB"/>
    <w:rsid w:val="0052750E"/>
    <w:rsid w:val="005316C8"/>
    <w:rsid w:val="00537F5A"/>
    <w:rsid w:val="00545D3A"/>
    <w:rsid w:val="00552191"/>
    <w:rsid w:val="0056083F"/>
    <w:rsid w:val="00566696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0F2F46A5-D3B1-4D20-A260-8513E82F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  <w:style w:type="paragraph" w:customStyle="1" w:styleId="tekstsedalk">
    <w:name w:val="tekst_sedalk"/>
    <w:basedOn w:val="Normalny"/>
    <w:link w:val="tekstsedalkZnak"/>
    <w:qFormat/>
    <w:rsid w:val="00566696"/>
    <w:pPr>
      <w:spacing w:line="276" w:lineRule="auto"/>
      <w:jc w:val="both"/>
    </w:pPr>
    <w:rPr>
      <w:rFonts w:asciiTheme="minorHAnsi" w:eastAsiaTheme="minorHAnsi" w:hAnsiTheme="minorHAnsi" w:cstheme="minorBidi"/>
      <w:szCs w:val="26"/>
    </w:rPr>
  </w:style>
  <w:style w:type="character" w:customStyle="1" w:styleId="tekstsedalkZnak">
    <w:name w:val="tekst_sedalk Znak"/>
    <w:basedOn w:val="Domylnaczcionkaakapitu"/>
    <w:link w:val="tekstsedalk"/>
    <w:rsid w:val="00566696"/>
    <w:rPr>
      <w:rFonts w:asciiTheme="minorHAnsi" w:eastAsiaTheme="minorHAnsi" w:hAnsiTheme="minorHAnsi" w:cstheme="minorBidi"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QuickStyle" Target="diagrams/quickStyle1.xml"/><Relationship Id="rId18" Type="http://schemas.openxmlformats.org/officeDocument/2006/relationships/chart" Target="charts/chart3.xml"/><Relationship Id="rId26" Type="http://schemas.openxmlformats.org/officeDocument/2006/relationships/hyperlink" Target="http://www.wynagrodzenia.pl/" TargetMode="Externa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chart" Target="charts/chart2.xml"/><Relationship Id="rId25" Type="http://schemas.openxmlformats.org/officeDocument/2006/relationships/hyperlink" Target="http://www.wynagrodzenia.pl/slownik_1.php/wpis.57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24" Type="http://schemas.openxmlformats.org/officeDocument/2006/relationships/hyperlink" Target="http://www.wynagrodzenia.pl/slownik_1.php/wpis.57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23" Type="http://schemas.openxmlformats.org/officeDocument/2006/relationships/hyperlink" Target="http://wynagrodzenia.pl/ogolnopolskie-badanie-wynagrodzen" TargetMode="External"/><Relationship Id="rId28" Type="http://schemas.openxmlformats.org/officeDocument/2006/relationships/hyperlink" Target="http://wynagrodzenia.pl/t/ogolnopolskie-badanie-wynagrodzen-np" TargetMode="External"/><Relationship Id="rId10" Type="http://schemas.openxmlformats.org/officeDocument/2006/relationships/hyperlink" Target="http://wynagrodzenia.pl/moja-placa" TargetMode="External"/><Relationship Id="rId19" Type="http://schemas.openxmlformats.org/officeDocument/2006/relationships/chart" Target="charts/chart4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diagramColors" Target="diagrams/colors1.xml"/><Relationship Id="rId22" Type="http://schemas.openxmlformats.org/officeDocument/2006/relationships/hyperlink" Target="http://wynagrodzenia.pl/kontakt" TargetMode="External"/><Relationship Id="rId27" Type="http://schemas.openxmlformats.org/officeDocument/2006/relationships/image" Target="media/image2.jpe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\\sassrvdc04\Krakow-Miodowa\wynagrodzenia\02%20-%20AKTUALIZACJE\01%20-%20Aktualizacje%202018\Newsletter%20nr%203%20(621.16.01.2018)\G&#321;&#211;WNE%20OBLICZENIA%202017%20OBW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\\sassrvdc04\Krakow-Miodowa\wynagrodzenia\02%20-%20AKTUALIZACJE\01%20-%20Aktualizacje%202018\Newsletter%20nr%203%20(621.16.01.2018)\G&#321;&#211;WNE%20OBLICZENIA%202017%20OBW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\\sassrvdc04\Krakow-Miodowa\wynagrodzenia\02%20-%20AKTUALIZACJE\01%20-%20Aktualizacje%202018\Newsletter%20nr%203%20(621.16.01.2018)\G&#321;&#211;WNE%20OBLICZENIA%202017%20OBW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file:///\\sassrvdc04\Krakow-Miodowa\wynagrodzenia\02%20-%20AKTUALIZACJE\01%20-%20Aktualizacje%202018\Newsletter%20nr%203%20(621.16.01.2018)\G&#321;&#211;WNE%20OBLICZENIA%202017%20OBW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oleObject" Target="Zeszyt1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6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oleObject" Target="file:///\\sassrvdc04\Krakow-Miodowa\wynagrodzenia\02%20-%20AKTUALIZACJE\01%20-%20Aktualizacje%202018\Newsletter%20nr%203%20(621.16.01.2018)\G&#321;&#211;WNE%20OBLICZENIA%202017%20OBW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bg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'podstawowe przekroje'!$Q$295:$Q$298</c:f>
              <c:strCache>
                <c:ptCount val="4"/>
                <c:pt idx="0">
                  <c:v>większe</c:v>
                </c:pt>
                <c:pt idx="1">
                  <c:v>takie same</c:v>
                </c:pt>
                <c:pt idx="2">
                  <c:v>mniejsze</c:v>
                </c:pt>
                <c:pt idx="3">
                  <c:v>nie pracowałem  w ubiegłym roku</c:v>
                </c:pt>
              </c:strCache>
            </c:strRef>
          </c:cat>
          <c:val>
            <c:numRef>
              <c:f>'podstawowe przekroje'!$AA$295:$AA$298</c:f>
              <c:numCache>
                <c:formatCode>0%</c:formatCode>
                <c:ptCount val="4"/>
                <c:pt idx="0">
                  <c:v>0.46887548644165028</c:v>
                </c:pt>
                <c:pt idx="1">
                  <c:v>0.40370393339431621</c:v>
                </c:pt>
                <c:pt idx="2">
                  <c:v>8.1412114916510334E-2</c:v>
                </c:pt>
                <c:pt idx="3">
                  <c:v>4.5992961131180329E-2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8E8-4489-9A48-683968EA4A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9996104"/>
        <c:axId val="209995320"/>
      </c:barChart>
      <c:catAx>
        <c:axId val="209996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09995320"/>
        <c:crosses val="autoZero"/>
        <c:auto val="1"/>
        <c:lblAlgn val="ctr"/>
        <c:lblOffset val="100"/>
        <c:noMultiLvlLbl val="0"/>
      </c:catAx>
      <c:valAx>
        <c:axId val="2099953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099961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bg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'podstawowe przekroje'!$D$448:$D$453</c:f>
              <c:strCache>
                <c:ptCount val="6"/>
                <c:pt idx="0">
                  <c:v>18 - 25</c:v>
                </c:pt>
                <c:pt idx="1">
                  <c:v>26 - 30</c:v>
                </c:pt>
                <c:pt idx="2">
                  <c:v>31 - 35</c:v>
                </c:pt>
                <c:pt idx="3">
                  <c:v>36 - 40</c:v>
                </c:pt>
                <c:pt idx="4">
                  <c:v>41 - 50</c:v>
                </c:pt>
                <c:pt idx="5">
                  <c:v>51 - 64</c:v>
                </c:pt>
              </c:strCache>
            </c:strRef>
          </c:cat>
          <c:val>
            <c:numRef>
              <c:f>'podstawowe przekroje'!$I$448:$I$453</c:f>
              <c:numCache>
                <c:formatCode>0</c:formatCode>
                <c:ptCount val="6"/>
                <c:pt idx="0">
                  <c:v>3062</c:v>
                </c:pt>
                <c:pt idx="1">
                  <c:v>3950</c:v>
                </c:pt>
                <c:pt idx="2">
                  <c:v>4613</c:v>
                </c:pt>
                <c:pt idx="3">
                  <c:v>4927</c:v>
                </c:pt>
                <c:pt idx="4">
                  <c:v>4700</c:v>
                </c:pt>
                <c:pt idx="5">
                  <c:v>4105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909-4692-8650-C1F9E3B156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95022320"/>
        <c:axId val="595024280"/>
      </c:lineChart>
      <c:catAx>
        <c:axId val="595022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95024280"/>
        <c:crosses val="autoZero"/>
        <c:auto val="1"/>
        <c:lblAlgn val="ctr"/>
        <c:lblOffset val="100"/>
        <c:noMultiLvlLbl val="0"/>
      </c:catAx>
      <c:valAx>
        <c:axId val="595024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950223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bg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'podstawowe przekroje'!$D$322:$D$323</c:f>
              <c:strCache>
                <c:ptCount val="2"/>
                <c:pt idx="0">
                  <c:v>stacjonarne</c:v>
                </c:pt>
                <c:pt idx="1">
                  <c:v>niestacjonarne</c:v>
                </c:pt>
              </c:strCache>
            </c:strRef>
          </c:cat>
          <c:val>
            <c:numRef>
              <c:f>'podstawowe przekroje'!$I$322:$I$323</c:f>
              <c:numCache>
                <c:formatCode>0</c:formatCode>
                <c:ptCount val="2"/>
                <c:pt idx="0">
                  <c:v>4927</c:v>
                </c:pt>
                <c:pt idx="1">
                  <c:v>4210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939-407D-A6EE-D26B1B0003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95024672"/>
        <c:axId val="560649432"/>
      </c:barChart>
      <c:catAx>
        <c:axId val="5950246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60649432"/>
        <c:crosses val="autoZero"/>
        <c:auto val="1"/>
        <c:lblAlgn val="ctr"/>
        <c:lblOffset val="100"/>
        <c:noMultiLvlLbl val="0"/>
      </c:catAx>
      <c:valAx>
        <c:axId val="560649432"/>
        <c:scaling>
          <c:orientation val="minMax"/>
          <c:min val="0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950246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bg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'podstawowe przekroje'!$D$274:$D$275</c:f>
              <c:strCache>
                <c:ptCount val="2"/>
                <c:pt idx="0">
                  <c:v>przewaga kapitału polskiego (powyżej 50%)</c:v>
                </c:pt>
                <c:pt idx="1">
                  <c:v>przewaga kapitału zagranicznego (powyżej 50%)</c:v>
                </c:pt>
              </c:strCache>
            </c:strRef>
          </c:cat>
          <c:val>
            <c:numRef>
              <c:f>'podstawowe przekroje'!$I$274:$I$275</c:f>
              <c:numCache>
                <c:formatCode>0</c:formatCode>
                <c:ptCount val="2"/>
                <c:pt idx="0">
                  <c:v>3700</c:v>
                </c:pt>
                <c:pt idx="1">
                  <c:v>5200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0E5-465D-8F0D-8AFAD38B9D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60649040"/>
        <c:axId val="560649824"/>
      </c:barChart>
      <c:catAx>
        <c:axId val="5606490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60649824"/>
        <c:crosses val="autoZero"/>
        <c:auto val="1"/>
        <c:lblAlgn val="ctr"/>
        <c:lblOffset val="100"/>
        <c:noMultiLvlLbl val="0"/>
      </c:catAx>
      <c:valAx>
        <c:axId val="5606498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606490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bg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Arkusz1!$A$18:$A$26</c:f>
              <c:strCache>
                <c:ptCount val="9"/>
                <c:pt idx="0">
                  <c:v>1 lub mniej</c:v>
                </c:pt>
                <c:pt idx="1">
                  <c:v>2 - 3</c:v>
                </c:pt>
                <c:pt idx="2">
                  <c:v>4 - 5</c:v>
                </c:pt>
                <c:pt idx="3">
                  <c:v>6 - 8</c:v>
                </c:pt>
                <c:pt idx="4">
                  <c:v>9 - 10</c:v>
                </c:pt>
                <c:pt idx="5">
                  <c:v>11 - 15</c:v>
                </c:pt>
                <c:pt idx="6">
                  <c:v>16 - 20</c:v>
                </c:pt>
                <c:pt idx="7">
                  <c:v>21 - 30</c:v>
                </c:pt>
                <c:pt idx="8">
                  <c:v>powyzej 30</c:v>
                </c:pt>
              </c:strCache>
            </c:strRef>
          </c:cat>
          <c:val>
            <c:numRef>
              <c:f>Arkusz1!$C$18:$C$26</c:f>
              <c:numCache>
                <c:formatCode>0.000</c:formatCode>
                <c:ptCount val="9"/>
                <c:pt idx="0">
                  <c:v>2919</c:v>
                </c:pt>
                <c:pt idx="1">
                  <c:v>3500</c:v>
                </c:pt>
                <c:pt idx="2">
                  <c:v>3924</c:v>
                </c:pt>
                <c:pt idx="3">
                  <c:v>4300</c:v>
                </c:pt>
                <c:pt idx="4">
                  <c:v>4497</c:v>
                </c:pt>
                <c:pt idx="5">
                  <c:v>4866</c:v>
                </c:pt>
                <c:pt idx="6">
                  <c:v>5000</c:v>
                </c:pt>
                <c:pt idx="7">
                  <c:v>4500</c:v>
                </c:pt>
                <c:pt idx="8">
                  <c:v>4066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388-438A-987E-6BC4855875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60647080"/>
        <c:axId val="560647472"/>
      </c:lineChart>
      <c:catAx>
        <c:axId val="560647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60647472"/>
        <c:crosses val="autoZero"/>
        <c:auto val="1"/>
        <c:lblAlgn val="ctr"/>
        <c:lblOffset val="100"/>
        <c:noMultiLvlLbl val="0"/>
      </c:catAx>
      <c:valAx>
        <c:axId val="560647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606470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bg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'podstawowe przekroje'!$D$474:$D$482</c:f>
              <c:strCache>
                <c:ptCount val="9"/>
                <c:pt idx="0">
                  <c:v>poniżej 10 tys.</c:v>
                </c:pt>
                <c:pt idx="1">
                  <c:v>10 - 25 tys.</c:v>
                </c:pt>
                <c:pt idx="2">
                  <c:v>25-50 tys.</c:v>
                </c:pt>
                <c:pt idx="3">
                  <c:v>50 - 75 tys.</c:v>
                </c:pt>
                <c:pt idx="4">
                  <c:v>75 - 100</c:v>
                </c:pt>
                <c:pt idx="5">
                  <c:v>100 - 200 tys.</c:v>
                </c:pt>
                <c:pt idx="6">
                  <c:v>200 - 500 tys.</c:v>
                </c:pt>
                <c:pt idx="7">
                  <c:v>500 - 1 000 tys.</c:v>
                </c:pt>
                <c:pt idx="8">
                  <c:v>1 000 tys. i więcej (Warszawa)</c:v>
                </c:pt>
              </c:strCache>
            </c:strRef>
          </c:cat>
          <c:val>
            <c:numRef>
              <c:f>'podstawowe przekroje'!$I$474:$I$482</c:f>
              <c:numCache>
                <c:formatCode>0</c:formatCode>
                <c:ptCount val="9"/>
                <c:pt idx="0">
                  <c:v>3421</c:v>
                </c:pt>
                <c:pt idx="1">
                  <c:v>3494</c:v>
                </c:pt>
                <c:pt idx="2">
                  <c:v>3500</c:v>
                </c:pt>
                <c:pt idx="3">
                  <c:v>3500</c:v>
                </c:pt>
                <c:pt idx="4">
                  <c:v>3493</c:v>
                </c:pt>
                <c:pt idx="5">
                  <c:v>3850</c:v>
                </c:pt>
                <c:pt idx="6">
                  <c:v>4100</c:v>
                </c:pt>
                <c:pt idx="7">
                  <c:v>4600</c:v>
                </c:pt>
                <c:pt idx="8">
                  <c:v>5645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E90-445E-BB1B-385AFFC87E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60648256"/>
        <c:axId val="594310768"/>
      </c:barChart>
      <c:catAx>
        <c:axId val="560648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94310768"/>
        <c:crosses val="autoZero"/>
        <c:auto val="1"/>
        <c:lblAlgn val="ctr"/>
        <c:lblOffset val="100"/>
        <c:noMultiLvlLbl val="0"/>
      </c:catAx>
      <c:valAx>
        <c:axId val="5943107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60648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7E5B13D-F52E-40BA-BEF5-82509E186390}" type="doc">
      <dgm:prSet loTypeId="urn:microsoft.com/office/officeart/2005/8/layout/pyramid2" loCatId="pyramid" qsTypeId="urn:microsoft.com/office/officeart/2005/8/quickstyle/simple1" qsCatId="simple" csTypeId="urn:microsoft.com/office/officeart/2005/8/colors/accent1_2" csCatId="accent1" phldr="1"/>
      <dgm:spPr/>
    </dgm:pt>
    <dgm:pt modelId="{D720B939-1611-4D83-9AD8-1E703EE5191B}">
      <dgm:prSet phldrT="[Tekst]"/>
      <dgm:spPr>
        <a:xfrm>
          <a:off x="2533888" y="280581"/>
          <a:ext cx="1814036" cy="660640"/>
        </a:xfrm>
        <a:prstGeom prst="round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39417B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pl-PL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25% zarabiało powyżej 6 060 PLN</a:t>
          </a:r>
        </a:p>
      </dgm:t>
    </dgm:pt>
    <dgm:pt modelId="{337CD33B-E3FA-46DB-B672-85FC2CB8BFD4}" type="parTrans" cxnId="{4C5B80F6-E006-46D2-B00D-1ADADA307877}">
      <dgm:prSet/>
      <dgm:spPr/>
      <dgm:t>
        <a:bodyPr/>
        <a:lstStyle/>
        <a:p>
          <a:endParaRPr lang="pl-PL"/>
        </a:p>
      </dgm:t>
    </dgm:pt>
    <dgm:pt modelId="{D480C0B4-F13B-495F-9354-A1FD5F3EE968}" type="sibTrans" cxnId="{4C5B80F6-E006-46D2-B00D-1ADADA307877}">
      <dgm:prSet/>
      <dgm:spPr/>
      <dgm:t>
        <a:bodyPr/>
        <a:lstStyle/>
        <a:p>
          <a:endParaRPr lang="pl-PL"/>
        </a:p>
      </dgm:t>
    </dgm:pt>
    <dgm:pt modelId="{90A29C6E-4137-48D1-B254-BC7E5F1F6568}">
      <dgm:prSet phldrT="[Tekst]"/>
      <dgm:spPr>
        <a:xfrm>
          <a:off x="2533888" y="1023802"/>
          <a:ext cx="1814036" cy="660640"/>
        </a:xfrm>
        <a:prstGeom prst="round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39417B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pl-PL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mediana </a:t>
          </a:r>
        </a:p>
        <a:p>
          <a:r>
            <a:rPr lang="pl-PL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4 157 PLN</a:t>
          </a:r>
        </a:p>
      </dgm:t>
    </dgm:pt>
    <dgm:pt modelId="{0492E252-B7EE-4BCA-825E-892231BAB8CC}" type="parTrans" cxnId="{BBC223E1-8493-49C2-8FF3-FA116A7CC8D1}">
      <dgm:prSet/>
      <dgm:spPr/>
      <dgm:t>
        <a:bodyPr/>
        <a:lstStyle/>
        <a:p>
          <a:endParaRPr lang="pl-PL"/>
        </a:p>
      </dgm:t>
    </dgm:pt>
    <dgm:pt modelId="{DD36AA71-C00C-481A-BD57-68BF3F98D4FB}" type="sibTrans" cxnId="{BBC223E1-8493-49C2-8FF3-FA116A7CC8D1}">
      <dgm:prSet/>
      <dgm:spPr/>
      <dgm:t>
        <a:bodyPr/>
        <a:lstStyle/>
        <a:p>
          <a:endParaRPr lang="pl-PL"/>
        </a:p>
      </dgm:t>
    </dgm:pt>
    <dgm:pt modelId="{39AEF652-868D-4DD1-A517-9F877BBEAF24}">
      <dgm:prSet phldrT="[Tekst]"/>
      <dgm:spPr>
        <a:xfrm>
          <a:off x="2533888" y="1767022"/>
          <a:ext cx="1814036" cy="660640"/>
        </a:xfrm>
        <a:prstGeom prst="round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39417B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pl-PL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25% zarabiało poniżej 3 000 PLN</a:t>
          </a:r>
        </a:p>
      </dgm:t>
    </dgm:pt>
    <dgm:pt modelId="{392C3225-CD62-4792-B389-9587CD1C43AE}" type="parTrans" cxnId="{5DA0C3DF-C6C4-471D-A75C-D6104C96BC5D}">
      <dgm:prSet/>
      <dgm:spPr/>
      <dgm:t>
        <a:bodyPr/>
        <a:lstStyle/>
        <a:p>
          <a:endParaRPr lang="pl-PL"/>
        </a:p>
      </dgm:t>
    </dgm:pt>
    <dgm:pt modelId="{1E304491-F035-4459-8952-35EBE974546F}" type="sibTrans" cxnId="{5DA0C3DF-C6C4-471D-A75C-D6104C96BC5D}">
      <dgm:prSet/>
      <dgm:spPr/>
      <dgm:t>
        <a:bodyPr/>
        <a:lstStyle/>
        <a:p>
          <a:endParaRPr lang="pl-PL"/>
        </a:p>
      </dgm:t>
    </dgm:pt>
    <dgm:pt modelId="{2A5DAB68-C7CF-48B8-9A9D-252D601B0FBB}" type="pres">
      <dgm:prSet presAssocID="{C7E5B13D-F52E-40BA-BEF5-82509E186390}" presName="compositeShape" presStyleCnt="0">
        <dgm:presLayoutVars>
          <dgm:dir/>
          <dgm:resizeHandles/>
        </dgm:presLayoutVars>
      </dgm:prSet>
      <dgm:spPr/>
    </dgm:pt>
    <dgm:pt modelId="{1726FF70-9546-43E2-912D-34BA5BBF5CF6}" type="pres">
      <dgm:prSet presAssocID="{C7E5B13D-F52E-40BA-BEF5-82509E186390}" presName="pyramid" presStyleLbl="node1" presStyleIdx="0" presStyleCnt="1"/>
      <dgm:spPr>
        <a:xfrm>
          <a:off x="1138475" y="0"/>
          <a:ext cx="2790824" cy="2790824"/>
        </a:xfrm>
        <a:prstGeom prst="triangle">
          <a:avLst/>
        </a:prstGeom>
        <a:solidFill>
          <a:srgbClr val="39417B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47584E20-F149-422A-BDB1-5638C3552D92}" type="pres">
      <dgm:prSet presAssocID="{C7E5B13D-F52E-40BA-BEF5-82509E186390}" presName="theList" presStyleCnt="0"/>
      <dgm:spPr/>
    </dgm:pt>
    <dgm:pt modelId="{6EA6F8E3-DE75-4B17-9AF4-5C8E5ADA931D}" type="pres">
      <dgm:prSet presAssocID="{D720B939-1611-4D83-9AD8-1E703EE5191B}" presName="aNode" presStyleLbl="fgAcc1" presStyleIdx="0" presStyleCnt="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98C7D9ED-086B-4797-A4C2-FD390097237F}" type="pres">
      <dgm:prSet presAssocID="{D720B939-1611-4D83-9AD8-1E703EE5191B}" presName="aSpace" presStyleCnt="0"/>
      <dgm:spPr/>
    </dgm:pt>
    <dgm:pt modelId="{5223EFBE-DFB9-4A29-AD2D-14617C5C2B44}" type="pres">
      <dgm:prSet presAssocID="{90A29C6E-4137-48D1-B254-BC7E5F1F6568}" presName="aNode" presStyleLbl="fgAcc1" presStyleIdx="1" presStyleCnt="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36627C4D-7626-485A-B3FE-C0EF6B2603A4}" type="pres">
      <dgm:prSet presAssocID="{90A29C6E-4137-48D1-B254-BC7E5F1F6568}" presName="aSpace" presStyleCnt="0"/>
      <dgm:spPr/>
    </dgm:pt>
    <dgm:pt modelId="{27329616-3472-4C8E-B41E-9298E01AF858}" type="pres">
      <dgm:prSet presAssocID="{39AEF652-868D-4DD1-A517-9F877BBEAF24}" presName="aNode" presStyleLbl="fgAcc1" presStyleIdx="2" presStyleCnt="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98F700A7-8289-4F3C-9ED6-921B5CC70D94}" type="pres">
      <dgm:prSet presAssocID="{39AEF652-868D-4DD1-A517-9F877BBEAF24}" presName="aSpace" presStyleCnt="0"/>
      <dgm:spPr/>
    </dgm:pt>
  </dgm:ptLst>
  <dgm:cxnLst>
    <dgm:cxn modelId="{5DA0C3DF-C6C4-471D-A75C-D6104C96BC5D}" srcId="{C7E5B13D-F52E-40BA-BEF5-82509E186390}" destId="{39AEF652-868D-4DD1-A517-9F877BBEAF24}" srcOrd="2" destOrd="0" parTransId="{392C3225-CD62-4792-B389-9587CD1C43AE}" sibTransId="{1E304491-F035-4459-8952-35EBE974546F}"/>
    <dgm:cxn modelId="{73294920-EC32-4A48-A30E-69F89CE59D74}" type="presOf" srcId="{90A29C6E-4137-48D1-B254-BC7E5F1F6568}" destId="{5223EFBE-DFB9-4A29-AD2D-14617C5C2B44}" srcOrd="0" destOrd="0" presId="urn:microsoft.com/office/officeart/2005/8/layout/pyramid2"/>
    <dgm:cxn modelId="{4C5B80F6-E006-46D2-B00D-1ADADA307877}" srcId="{C7E5B13D-F52E-40BA-BEF5-82509E186390}" destId="{D720B939-1611-4D83-9AD8-1E703EE5191B}" srcOrd="0" destOrd="0" parTransId="{337CD33B-E3FA-46DB-B672-85FC2CB8BFD4}" sibTransId="{D480C0B4-F13B-495F-9354-A1FD5F3EE968}"/>
    <dgm:cxn modelId="{41584A63-EE7C-4835-B44E-A084250FD77A}" type="presOf" srcId="{D720B939-1611-4D83-9AD8-1E703EE5191B}" destId="{6EA6F8E3-DE75-4B17-9AF4-5C8E5ADA931D}" srcOrd="0" destOrd="0" presId="urn:microsoft.com/office/officeart/2005/8/layout/pyramid2"/>
    <dgm:cxn modelId="{199C6818-F79B-470B-998C-030AA3B4FE21}" type="presOf" srcId="{39AEF652-868D-4DD1-A517-9F877BBEAF24}" destId="{27329616-3472-4C8E-B41E-9298E01AF858}" srcOrd="0" destOrd="0" presId="urn:microsoft.com/office/officeart/2005/8/layout/pyramid2"/>
    <dgm:cxn modelId="{BBC223E1-8493-49C2-8FF3-FA116A7CC8D1}" srcId="{C7E5B13D-F52E-40BA-BEF5-82509E186390}" destId="{90A29C6E-4137-48D1-B254-BC7E5F1F6568}" srcOrd="1" destOrd="0" parTransId="{0492E252-B7EE-4BCA-825E-892231BAB8CC}" sibTransId="{DD36AA71-C00C-481A-BD57-68BF3F98D4FB}"/>
    <dgm:cxn modelId="{92AC2188-1ECB-4098-845A-81A772DA5B5D}" type="presOf" srcId="{C7E5B13D-F52E-40BA-BEF5-82509E186390}" destId="{2A5DAB68-C7CF-48B8-9A9D-252D601B0FBB}" srcOrd="0" destOrd="0" presId="urn:microsoft.com/office/officeart/2005/8/layout/pyramid2"/>
    <dgm:cxn modelId="{8B00139E-E2E6-41F5-90D6-AFDE94D28086}" type="presParOf" srcId="{2A5DAB68-C7CF-48B8-9A9D-252D601B0FBB}" destId="{1726FF70-9546-43E2-912D-34BA5BBF5CF6}" srcOrd="0" destOrd="0" presId="urn:microsoft.com/office/officeart/2005/8/layout/pyramid2"/>
    <dgm:cxn modelId="{291DE046-389F-4541-A720-BD33A3500150}" type="presParOf" srcId="{2A5DAB68-C7CF-48B8-9A9D-252D601B0FBB}" destId="{47584E20-F149-422A-BDB1-5638C3552D92}" srcOrd="1" destOrd="0" presId="urn:microsoft.com/office/officeart/2005/8/layout/pyramid2"/>
    <dgm:cxn modelId="{8AEBA22F-3CDE-4171-801E-77B487663DA6}" type="presParOf" srcId="{47584E20-F149-422A-BDB1-5638C3552D92}" destId="{6EA6F8E3-DE75-4B17-9AF4-5C8E5ADA931D}" srcOrd="0" destOrd="0" presId="urn:microsoft.com/office/officeart/2005/8/layout/pyramid2"/>
    <dgm:cxn modelId="{232ED6FF-E0C2-4F08-9560-FC56A69B04AE}" type="presParOf" srcId="{47584E20-F149-422A-BDB1-5638C3552D92}" destId="{98C7D9ED-086B-4797-A4C2-FD390097237F}" srcOrd="1" destOrd="0" presId="urn:microsoft.com/office/officeart/2005/8/layout/pyramid2"/>
    <dgm:cxn modelId="{C041B2C7-7BC7-42B8-96F4-224C161DCA73}" type="presParOf" srcId="{47584E20-F149-422A-BDB1-5638C3552D92}" destId="{5223EFBE-DFB9-4A29-AD2D-14617C5C2B44}" srcOrd="2" destOrd="0" presId="urn:microsoft.com/office/officeart/2005/8/layout/pyramid2"/>
    <dgm:cxn modelId="{74C82424-1E71-4055-BE45-EA1BF5F60E22}" type="presParOf" srcId="{47584E20-F149-422A-BDB1-5638C3552D92}" destId="{36627C4D-7626-485A-B3FE-C0EF6B2603A4}" srcOrd="3" destOrd="0" presId="urn:microsoft.com/office/officeart/2005/8/layout/pyramid2"/>
    <dgm:cxn modelId="{7F4CEAE7-9104-474A-967B-93642A14B2A8}" type="presParOf" srcId="{47584E20-F149-422A-BDB1-5638C3552D92}" destId="{27329616-3472-4C8E-B41E-9298E01AF858}" srcOrd="4" destOrd="0" presId="urn:microsoft.com/office/officeart/2005/8/layout/pyramid2"/>
    <dgm:cxn modelId="{97BE8DD6-BDAA-4053-9813-06534A1E430A}" type="presParOf" srcId="{47584E20-F149-422A-BDB1-5638C3552D92}" destId="{98F700A7-8289-4F3C-9ED6-921B5CC70D94}" srcOrd="5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726FF70-9546-43E2-912D-34BA5BBF5CF6}">
      <dsp:nvSpPr>
        <dsp:cNvPr id="0" name=""/>
        <dsp:cNvSpPr/>
      </dsp:nvSpPr>
      <dsp:spPr>
        <a:xfrm>
          <a:off x="1138475" y="0"/>
          <a:ext cx="2790824" cy="2790824"/>
        </a:xfrm>
        <a:prstGeom prst="triangle">
          <a:avLst/>
        </a:prstGeom>
        <a:solidFill>
          <a:srgbClr val="39417B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A6F8E3-DE75-4B17-9AF4-5C8E5ADA931D}">
      <dsp:nvSpPr>
        <dsp:cNvPr id="0" name=""/>
        <dsp:cNvSpPr/>
      </dsp:nvSpPr>
      <dsp:spPr>
        <a:xfrm>
          <a:off x="2533888" y="280581"/>
          <a:ext cx="1814036" cy="660640"/>
        </a:xfrm>
        <a:prstGeom prst="round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39417B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25% zarabiało powyżej 6 060 PLN</a:t>
          </a:r>
        </a:p>
      </dsp:txBody>
      <dsp:txXfrm>
        <a:off x="2566138" y="312831"/>
        <a:ext cx="1749536" cy="596140"/>
      </dsp:txXfrm>
    </dsp:sp>
    <dsp:sp modelId="{5223EFBE-DFB9-4A29-AD2D-14617C5C2B44}">
      <dsp:nvSpPr>
        <dsp:cNvPr id="0" name=""/>
        <dsp:cNvSpPr/>
      </dsp:nvSpPr>
      <dsp:spPr>
        <a:xfrm>
          <a:off x="2533888" y="1023802"/>
          <a:ext cx="1814036" cy="660640"/>
        </a:xfrm>
        <a:prstGeom prst="round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39417B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mediana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4 157 PLN</a:t>
          </a:r>
        </a:p>
      </dsp:txBody>
      <dsp:txXfrm>
        <a:off x="2566138" y="1056052"/>
        <a:ext cx="1749536" cy="596140"/>
      </dsp:txXfrm>
    </dsp:sp>
    <dsp:sp modelId="{27329616-3472-4C8E-B41E-9298E01AF858}">
      <dsp:nvSpPr>
        <dsp:cNvPr id="0" name=""/>
        <dsp:cNvSpPr/>
      </dsp:nvSpPr>
      <dsp:spPr>
        <a:xfrm>
          <a:off x="2533888" y="1767022"/>
          <a:ext cx="1814036" cy="660640"/>
        </a:xfrm>
        <a:prstGeom prst="round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39417B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25% zarabiało poniżej 3 000 PLN</a:t>
          </a:r>
        </a:p>
      </dsp:txBody>
      <dsp:txXfrm>
        <a:off x="2566138" y="1799272"/>
        <a:ext cx="1749536" cy="5961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Sedlakowy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39417B"/>
    </a:accent1>
    <a:accent2>
      <a:srgbClr val="77C3D8"/>
    </a:accent2>
    <a:accent3>
      <a:srgbClr val="60B9B1"/>
    </a:accent3>
    <a:accent4>
      <a:srgbClr val="8585B0"/>
    </a:accent4>
    <a:accent5>
      <a:srgbClr val="EB605B"/>
    </a:accent5>
    <a:accent6>
      <a:srgbClr val="A5A88C"/>
    </a:accent6>
    <a:hlink>
      <a:srgbClr val="0000FF"/>
    </a:hlink>
    <a:folHlink>
      <a:srgbClr val="800080"/>
    </a:folHlink>
  </a:clrScheme>
  <a:fontScheme name="Pakiet 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Sedlakowy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39417B"/>
    </a:accent1>
    <a:accent2>
      <a:srgbClr val="77C3D8"/>
    </a:accent2>
    <a:accent3>
      <a:srgbClr val="60B9B1"/>
    </a:accent3>
    <a:accent4>
      <a:srgbClr val="8585B0"/>
    </a:accent4>
    <a:accent5>
      <a:srgbClr val="EB605B"/>
    </a:accent5>
    <a:accent6>
      <a:srgbClr val="A5A88C"/>
    </a:accent6>
    <a:hlink>
      <a:srgbClr val="0000FF"/>
    </a:hlink>
    <a:folHlink>
      <a:srgbClr val="800080"/>
    </a:folHlink>
  </a:clrScheme>
  <a:fontScheme name="Pakiet 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Sedlakowy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39417B"/>
    </a:accent1>
    <a:accent2>
      <a:srgbClr val="77C3D8"/>
    </a:accent2>
    <a:accent3>
      <a:srgbClr val="60B9B1"/>
    </a:accent3>
    <a:accent4>
      <a:srgbClr val="8585B0"/>
    </a:accent4>
    <a:accent5>
      <a:srgbClr val="EB605B"/>
    </a:accent5>
    <a:accent6>
      <a:srgbClr val="A5A88C"/>
    </a:accent6>
    <a:hlink>
      <a:srgbClr val="0000FF"/>
    </a:hlink>
    <a:folHlink>
      <a:srgbClr val="800080"/>
    </a:folHlink>
  </a:clrScheme>
  <a:fontScheme name="Pakiet 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Sedlakowy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39417B"/>
    </a:accent1>
    <a:accent2>
      <a:srgbClr val="77C3D8"/>
    </a:accent2>
    <a:accent3>
      <a:srgbClr val="60B9B1"/>
    </a:accent3>
    <a:accent4>
      <a:srgbClr val="8585B0"/>
    </a:accent4>
    <a:accent5>
      <a:srgbClr val="EB605B"/>
    </a:accent5>
    <a:accent6>
      <a:srgbClr val="A5A88C"/>
    </a:accent6>
    <a:hlink>
      <a:srgbClr val="0000FF"/>
    </a:hlink>
    <a:folHlink>
      <a:srgbClr val="800080"/>
    </a:folHlink>
  </a:clrScheme>
  <a:fontScheme name="Pakiet 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Sedlakowy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39417B"/>
    </a:accent1>
    <a:accent2>
      <a:srgbClr val="77C3D8"/>
    </a:accent2>
    <a:accent3>
      <a:srgbClr val="60B9B1"/>
    </a:accent3>
    <a:accent4>
      <a:srgbClr val="8585B0"/>
    </a:accent4>
    <a:accent5>
      <a:srgbClr val="EB605B"/>
    </a:accent5>
    <a:accent6>
      <a:srgbClr val="A5A88C"/>
    </a:accent6>
    <a:hlink>
      <a:srgbClr val="0000FF"/>
    </a:hlink>
    <a:folHlink>
      <a:srgbClr val="800080"/>
    </a:folHlink>
  </a:clrScheme>
  <a:fontScheme name="Pakiet 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Sedlakowy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39417B"/>
    </a:accent1>
    <a:accent2>
      <a:srgbClr val="77C3D8"/>
    </a:accent2>
    <a:accent3>
      <a:srgbClr val="60B9B1"/>
    </a:accent3>
    <a:accent4>
      <a:srgbClr val="8585B0"/>
    </a:accent4>
    <a:accent5>
      <a:srgbClr val="EB605B"/>
    </a:accent5>
    <a:accent6>
      <a:srgbClr val="A5A88C"/>
    </a:accent6>
    <a:hlink>
      <a:srgbClr val="0000FF"/>
    </a:hlink>
    <a:folHlink>
      <a:srgbClr val="800080"/>
    </a:folHlink>
  </a:clrScheme>
  <a:fontScheme name="Pakiet 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CB64C-AF91-4677-ACDF-07B3C31AD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1730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12092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Kamil Preidl</cp:lastModifiedBy>
  <cp:revision>3</cp:revision>
  <cp:lastPrinted>2018-02-09T12:49:00Z</cp:lastPrinted>
  <dcterms:created xsi:type="dcterms:W3CDTF">2017-02-08T13:22:00Z</dcterms:created>
  <dcterms:modified xsi:type="dcterms:W3CDTF">2018-02-09T12:50:00Z</dcterms:modified>
</cp:coreProperties>
</file>